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176C2" w14:textId="77777777" w:rsidR="00EC4E6F" w:rsidRPr="00D95C7B" w:rsidRDefault="009C0355" w:rsidP="00D95C7B">
      <w:pPr>
        <w:jc w:val="center"/>
        <w:rPr>
          <w:b/>
          <w:sz w:val="28"/>
          <w:szCs w:val="28"/>
        </w:rPr>
      </w:pPr>
      <w:r w:rsidRPr="00D95C7B">
        <w:rPr>
          <w:b/>
          <w:sz w:val="28"/>
          <w:szCs w:val="28"/>
        </w:rPr>
        <w:t>BMA ITN Assumptions</w:t>
      </w:r>
    </w:p>
    <w:p w14:paraId="36B176C3" w14:textId="77777777" w:rsidR="00A846FB" w:rsidRPr="00A846FB" w:rsidRDefault="00A846FB" w:rsidP="00A846FB">
      <w:pPr>
        <w:rPr>
          <w:b/>
        </w:rPr>
      </w:pPr>
      <w:r w:rsidRPr="00A846FB">
        <w:rPr>
          <w:b/>
        </w:rPr>
        <w:t>Project Assumptions</w:t>
      </w:r>
    </w:p>
    <w:p w14:paraId="36B176C4" w14:textId="77777777" w:rsidR="009C0355" w:rsidRDefault="009C0355" w:rsidP="009C0355">
      <w:pPr>
        <w:pStyle w:val="ListParagraph"/>
        <w:numPr>
          <w:ilvl w:val="0"/>
          <w:numId w:val="1"/>
        </w:numPr>
      </w:pPr>
      <w:r>
        <w:t>BMA assurance event will be split into two levels for each capability drop/deliverable.</w:t>
      </w:r>
    </w:p>
    <w:p w14:paraId="36B176C5" w14:textId="77777777" w:rsidR="009C0355" w:rsidRDefault="009C0355" w:rsidP="009C0355">
      <w:pPr>
        <w:pStyle w:val="ListParagraph"/>
        <w:numPr>
          <w:ilvl w:val="1"/>
          <w:numId w:val="1"/>
        </w:numPr>
      </w:pPr>
      <w:r>
        <w:t>Level 1 at BMA Suppliers premises (assures working software)</w:t>
      </w:r>
    </w:p>
    <w:p w14:paraId="36B176C6" w14:textId="77777777" w:rsidR="009C0355" w:rsidRDefault="009C0355" w:rsidP="009C0355">
      <w:pPr>
        <w:pStyle w:val="ListParagraph"/>
        <w:numPr>
          <w:ilvl w:val="1"/>
          <w:numId w:val="1"/>
        </w:numPr>
      </w:pPr>
      <w:r>
        <w:t>Level 2 at Oakdale to assure integration</w:t>
      </w:r>
    </w:p>
    <w:p w14:paraId="36B176C7" w14:textId="77777777" w:rsidR="009C0355" w:rsidRDefault="009C0355" w:rsidP="009C0355">
      <w:pPr>
        <w:pStyle w:val="ListParagraph"/>
        <w:numPr>
          <w:ilvl w:val="0"/>
          <w:numId w:val="1"/>
        </w:numPr>
      </w:pPr>
      <w:r w:rsidRPr="009C0355">
        <w:t xml:space="preserve">The </w:t>
      </w:r>
      <w:r>
        <w:t>Transition Partner’s (</w:t>
      </w:r>
      <w:r w:rsidRPr="009C0355">
        <w:t>TPs</w:t>
      </w:r>
      <w:r>
        <w:t>)</w:t>
      </w:r>
      <w:r w:rsidRPr="009C0355">
        <w:t xml:space="preserve"> integration rig will be the vehicle for the BMA to conduct integration, test and </w:t>
      </w:r>
      <w:r w:rsidR="00125183">
        <w:t>acceptance</w:t>
      </w:r>
      <w:r w:rsidRPr="009C0355">
        <w:t xml:space="preserve"> of its various capability drops.</w:t>
      </w:r>
    </w:p>
    <w:p w14:paraId="36B176C8" w14:textId="77777777" w:rsidR="009C0355" w:rsidRDefault="009C0355" w:rsidP="009C0355">
      <w:pPr>
        <w:pStyle w:val="ListParagraph"/>
        <w:numPr>
          <w:ilvl w:val="0"/>
          <w:numId w:val="1"/>
        </w:numPr>
      </w:pPr>
      <w:r w:rsidRPr="009C0355">
        <w:t>MTRC will not be available for un-biased/independent testing and assurance/acceptance</w:t>
      </w:r>
    </w:p>
    <w:p w14:paraId="36B176C9" w14:textId="1037AC8B" w:rsidR="00A846FB" w:rsidRPr="00A846FB" w:rsidRDefault="00A846FB" w:rsidP="00A846FB">
      <w:pPr>
        <w:rPr>
          <w:b/>
        </w:rPr>
      </w:pPr>
      <w:r>
        <w:rPr>
          <w:b/>
        </w:rPr>
        <w:t>ITN</w:t>
      </w:r>
      <w:r w:rsidRPr="00A846FB">
        <w:rPr>
          <w:b/>
        </w:rPr>
        <w:t xml:space="preserve"> Assumptions</w:t>
      </w:r>
      <w:r w:rsidR="00125183">
        <w:rPr>
          <w:b/>
        </w:rPr>
        <w:t xml:space="preserve"> (</w:t>
      </w:r>
      <w:r w:rsidR="00125183" w:rsidRPr="00125183">
        <w:rPr>
          <w:b/>
          <w:color w:val="FF0000"/>
        </w:rPr>
        <w:t>for the purpose</w:t>
      </w:r>
      <w:r w:rsidR="00C73B24">
        <w:rPr>
          <w:b/>
          <w:color w:val="FF0000"/>
        </w:rPr>
        <w:t>s</w:t>
      </w:r>
      <w:r w:rsidR="00125183" w:rsidRPr="00125183">
        <w:rPr>
          <w:b/>
          <w:color w:val="FF0000"/>
        </w:rPr>
        <w:t xml:space="preserve"> of proposal evaluation only</w:t>
      </w:r>
      <w:r w:rsidR="00125183">
        <w:rPr>
          <w:b/>
        </w:rPr>
        <w:t>)</w:t>
      </w:r>
    </w:p>
    <w:p w14:paraId="36B176CA" w14:textId="77777777" w:rsidR="00A846FB" w:rsidRDefault="00A846FB" w:rsidP="00A846FB">
      <w:pPr>
        <w:pStyle w:val="ListParagraph"/>
        <w:numPr>
          <w:ilvl w:val="0"/>
          <w:numId w:val="1"/>
        </w:numPr>
      </w:pPr>
      <w:r>
        <w:t>Solution Scaling</w:t>
      </w:r>
    </w:p>
    <w:p w14:paraId="36B176CB" w14:textId="77777777" w:rsidR="00D968B5" w:rsidRDefault="00D968B5" w:rsidP="00D968B5">
      <w:pPr>
        <w:pStyle w:val="ListParagraph"/>
        <w:numPr>
          <w:ilvl w:val="1"/>
          <w:numId w:val="1"/>
        </w:numPr>
      </w:pPr>
      <w:r>
        <w:t>Assumed quantities: - 17,000 instantiations of the BMA</w:t>
      </w:r>
    </w:p>
    <w:p w14:paraId="36B176CC" w14:textId="77777777" w:rsidR="00D968B5" w:rsidRDefault="00D968B5" w:rsidP="00D968B5">
      <w:pPr>
        <w:pStyle w:val="ListParagraph"/>
        <w:numPr>
          <w:ilvl w:val="1"/>
          <w:numId w:val="1"/>
        </w:numPr>
      </w:pPr>
      <w:r>
        <w:t>Assumed rollout profile:</w:t>
      </w:r>
    </w:p>
    <w:tbl>
      <w:tblPr>
        <w:tblW w:w="5275" w:type="dxa"/>
        <w:tblInd w:w="1555" w:type="dxa"/>
        <w:tblLook w:val="04A0" w:firstRow="1" w:lastRow="0" w:firstColumn="1" w:lastColumn="0" w:noHBand="0" w:noVBand="1"/>
      </w:tblPr>
      <w:tblGrid>
        <w:gridCol w:w="1435"/>
        <w:gridCol w:w="960"/>
        <w:gridCol w:w="960"/>
        <w:gridCol w:w="960"/>
        <w:gridCol w:w="960"/>
      </w:tblGrid>
      <w:tr w:rsidR="001D4239" w:rsidRPr="00A846FB" w14:paraId="36B176D8" w14:textId="77777777" w:rsidTr="001D4239">
        <w:trPr>
          <w:trHeight w:val="300"/>
        </w:trPr>
        <w:tc>
          <w:tcPr>
            <w:tcW w:w="1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B176CD" w14:textId="77777777" w:rsidR="001D4239" w:rsidRPr="00A846FB" w:rsidRDefault="001D4239" w:rsidP="00A846FB">
            <w:pPr>
              <w:spacing w:after="0" w:line="240" w:lineRule="auto"/>
              <w:rPr>
                <w:rFonts w:ascii="Calibri" w:eastAsia="Times New Roman" w:hAnsi="Calibri" w:cs="Calibri"/>
                <w:color w:val="000000"/>
                <w:lang w:eastAsia="en-GB"/>
              </w:rPr>
            </w:pPr>
            <w:r w:rsidRPr="00A846FB">
              <w:rPr>
                <w:rFonts w:ascii="Calibri" w:eastAsia="Times New Roman" w:hAnsi="Calibri" w:cs="Calibri"/>
                <w:color w:val="000000"/>
                <w:lang w:eastAsia="en-GB"/>
              </w:rPr>
              <w:t>20/21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6B176CE" w14:textId="77777777" w:rsidR="001D4239" w:rsidRPr="00A846FB" w:rsidRDefault="001D4239" w:rsidP="00A846FB">
            <w:pPr>
              <w:spacing w:after="0" w:line="240" w:lineRule="auto"/>
              <w:rPr>
                <w:rFonts w:ascii="Calibri" w:eastAsia="Times New Roman" w:hAnsi="Calibri" w:cs="Calibri"/>
                <w:color w:val="000000"/>
                <w:lang w:eastAsia="en-GB"/>
              </w:rPr>
            </w:pPr>
            <w:r w:rsidRPr="00A846FB">
              <w:rPr>
                <w:rFonts w:ascii="Calibri" w:eastAsia="Times New Roman" w:hAnsi="Calibri" w:cs="Calibri"/>
                <w:color w:val="000000"/>
                <w:lang w:eastAsia="en-GB"/>
              </w:rPr>
              <w:t>21/22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6B176CF" w14:textId="77777777" w:rsidR="001D4239" w:rsidRPr="00A846FB" w:rsidRDefault="001D4239" w:rsidP="00A846FB">
            <w:pPr>
              <w:spacing w:after="0" w:line="240" w:lineRule="auto"/>
              <w:rPr>
                <w:rFonts w:ascii="Calibri" w:eastAsia="Times New Roman" w:hAnsi="Calibri" w:cs="Calibri"/>
                <w:color w:val="000000"/>
                <w:lang w:eastAsia="en-GB"/>
              </w:rPr>
            </w:pPr>
            <w:r w:rsidRPr="00A846FB">
              <w:rPr>
                <w:rFonts w:ascii="Calibri" w:eastAsia="Times New Roman" w:hAnsi="Calibri" w:cs="Calibri"/>
                <w:color w:val="000000"/>
                <w:lang w:eastAsia="en-GB"/>
              </w:rPr>
              <w:t>22/23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6B176D0" w14:textId="77777777" w:rsidR="001D4239" w:rsidRPr="00A846FB" w:rsidRDefault="001D4239" w:rsidP="00A846FB">
            <w:pPr>
              <w:spacing w:after="0" w:line="240" w:lineRule="auto"/>
              <w:rPr>
                <w:rFonts w:ascii="Calibri" w:eastAsia="Times New Roman" w:hAnsi="Calibri" w:cs="Calibri"/>
                <w:color w:val="000000"/>
                <w:lang w:eastAsia="en-GB"/>
              </w:rPr>
            </w:pPr>
            <w:r w:rsidRPr="00A846FB">
              <w:rPr>
                <w:rFonts w:ascii="Calibri" w:eastAsia="Times New Roman" w:hAnsi="Calibri" w:cs="Calibri"/>
                <w:color w:val="000000"/>
                <w:lang w:eastAsia="en-GB"/>
              </w:rPr>
              <w:t>23/24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6B176D1" w14:textId="77777777" w:rsidR="001D4239" w:rsidRPr="00A846FB" w:rsidRDefault="001D4239" w:rsidP="00A846FB">
            <w:pPr>
              <w:spacing w:after="0" w:line="240" w:lineRule="auto"/>
              <w:rPr>
                <w:rFonts w:ascii="Calibri" w:eastAsia="Times New Roman" w:hAnsi="Calibri" w:cs="Calibri"/>
                <w:color w:val="000000"/>
                <w:lang w:eastAsia="en-GB"/>
              </w:rPr>
            </w:pPr>
            <w:r w:rsidRPr="00A846FB">
              <w:rPr>
                <w:rFonts w:ascii="Calibri" w:eastAsia="Times New Roman" w:hAnsi="Calibri" w:cs="Calibri"/>
                <w:color w:val="000000"/>
                <w:lang w:eastAsia="en-GB"/>
              </w:rPr>
              <w:t>24/25</w:t>
            </w:r>
          </w:p>
        </w:tc>
      </w:tr>
      <w:tr w:rsidR="001D4239" w:rsidRPr="00A846FB" w14:paraId="36B176E4" w14:textId="77777777" w:rsidTr="001D4239">
        <w:trPr>
          <w:trHeight w:val="300"/>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36B176D9" w14:textId="77777777" w:rsidR="001D4239" w:rsidRPr="00A846FB" w:rsidRDefault="001D4239" w:rsidP="00A846FB">
            <w:pPr>
              <w:spacing w:after="0" w:line="240" w:lineRule="auto"/>
              <w:rPr>
                <w:rFonts w:ascii="Calibri" w:eastAsia="Times New Roman" w:hAnsi="Calibri" w:cs="Calibri"/>
                <w:color w:val="000000"/>
                <w:lang w:eastAsia="en-GB"/>
              </w:rPr>
            </w:pPr>
            <w:r w:rsidRPr="00A846FB">
              <w:rPr>
                <w:rFonts w:ascii="Calibri" w:eastAsia="Times New Roman" w:hAnsi="Calibri" w:cs="Calibri"/>
                <w:color w:val="000000"/>
                <w:lang w:eastAsia="en-GB"/>
              </w:rPr>
              <w:t> </w:t>
            </w:r>
          </w:p>
        </w:tc>
        <w:tc>
          <w:tcPr>
            <w:tcW w:w="960" w:type="dxa"/>
            <w:tcBorders>
              <w:top w:val="nil"/>
              <w:left w:val="nil"/>
              <w:bottom w:val="single" w:sz="4" w:space="0" w:color="auto"/>
              <w:right w:val="single" w:sz="4" w:space="0" w:color="auto"/>
            </w:tcBorders>
            <w:shd w:val="clear" w:color="auto" w:fill="auto"/>
            <w:noWrap/>
            <w:vAlign w:val="bottom"/>
            <w:hideMark/>
          </w:tcPr>
          <w:p w14:paraId="36B176DA" w14:textId="45A95087" w:rsidR="001D4239" w:rsidRPr="00A846FB" w:rsidRDefault="001D4239" w:rsidP="0042364D">
            <w:pPr>
              <w:spacing w:after="0" w:line="240" w:lineRule="auto"/>
              <w:jc w:val="center"/>
              <w:rPr>
                <w:rFonts w:ascii="Calibri" w:eastAsia="Times New Roman" w:hAnsi="Calibri" w:cs="Calibri"/>
                <w:lang w:eastAsia="en-GB"/>
              </w:rPr>
            </w:pPr>
            <w:r>
              <w:rPr>
                <w:rFonts w:ascii="Calibri" w:eastAsia="Times New Roman" w:hAnsi="Calibri" w:cs="Calibri"/>
                <w:lang w:eastAsia="en-GB"/>
              </w:rPr>
              <w:t>10</w:t>
            </w:r>
            <w:r w:rsidRPr="00A846FB">
              <w:rPr>
                <w:rFonts w:ascii="Calibri" w:eastAsia="Times New Roman" w:hAnsi="Calibri" w:cs="Calibri"/>
                <w:lang w:eastAsia="en-GB"/>
              </w:rPr>
              <w:t>%</w:t>
            </w:r>
          </w:p>
        </w:tc>
        <w:tc>
          <w:tcPr>
            <w:tcW w:w="960" w:type="dxa"/>
            <w:tcBorders>
              <w:top w:val="nil"/>
              <w:left w:val="nil"/>
              <w:bottom w:val="single" w:sz="4" w:space="0" w:color="auto"/>
              <w:right w:val="single" w:sz="4" w:space="0" w:color="auto"/>
            </w:tcBorders>
            <w:shd w:val="clear" w:color="auto" w:fill="auto"/>
            <w:noWrap/>
            <w:vAlign w:val="bottom"/>
            <w:hideMark/>
          </w:tcPr>
          <w:p w14:paraId="36B176DB" w14:textId="405BCD16" w:rsidR="001D4239" w:rsidRPr="00A846FB" w:rsidRDefault="001D4239" w:rsidP="001D4239">
            <w:pPr>
              <w:spacing w:after="0" w:line="240" w:lineRule="auto"/>
              <w:jc w:val="center"/>
              <w:rPr>
                <w:rFonts w:ascii="Calibri" w:eastAsia="Times New Roman" w:hAnsi="Calibri" w:cs="Calibri"/>
                <w:lang w:eastAsia="en-GB"/>
              </w:rPr>
            </w:pPr>
            <w:r w:rsidRPr="00A846FB">
              <w:rPr>
                <w:rFonts w:ascii="Calibri" w:eastAsia="Times New Roman" w:hAnsi="Calibri" w:cs="Calibri"/>
                <w:lang w:eastAsia="en-GB"/>
              </w:rPr>
              <w:t>2</w:t>
            </w:r>
            <w:r>
              <w:rPr>
                <w:rFonts w:ascii="Calibri" w:eastAsia="Times New Roman" w:hAnsi="Calibri" w:cs="Calibri"/>
                <w:lang w:eastAsia="en-GB"/>
              </w:rPr>
              <w:t>5</w:t>
            </w:r>
            <w:r w:rsidRPr="00A846FB">
              <w:rPr>
                <w:rFonts w:ascii="Calibri" w:eastAsia="Times New Roman" w:hAnsi="Calibri" w:cs="Calibri"/>
                <w:lang w:eastAsia="en-GB"/>
              </w:rPr>
              <w:t>%</w:t>
            </w:r>
          </w:p>
        </w:tc>
        <w:tc>
          <w:tcPr>
            <w:tcW w:w="960" w:type="dxa"/>
            <w:tcBorders>
              <w:top w:val="nil"/>
              <w:left w:val="nil"/>
              <w:bottom w:val="single" w:sz="4" w:space="0" w:color="auto"/>
              <w:right w:val="single" w:sz="4" w:space="0" w:color="auto"/>
            </w:tcBorders>
            <w:shd w:val="clear" w:color="auto" w:fill="auto"/>
            <w:noWrap/>
            <w:vAlign w:val="bottom"/>
            <w:hideMark/>
          </w:tcPr>
          <w:p w14:paraId="36B176DC" w14:textId="2917E510" w:rsidR="001D4239" w:rsidRPr="00A846FB" w:rsidRDefault="001D4239" w:rsidP="0042364D">
            <w:pPr>
              <w:spacing w:after="0" w:line="240" w:lineRule="auto"/>
              <w:jc w:val="center"/>
              <w:rPr>
                <w:rFonts w:ascii="Calibri" w:eastAsia="Times New Roman" w:hAnsi="Calibri" w:cs="Calibri"/>
                <w:lang w:eastAsia="en-GB"/>
              </w:rPr>
            </w:pPr>
            <w:r>
              <w:rPr>
                <w:rFonts w:ascii="Calibri" w:eastAsia="Times New Roman" w:hAnsi="Calibri" w:cs="Calibri"/>
                <w:lang w:eastAsia="en-GB"/>
              </w:rPr>
              <w:t>32</w:t>
            </w:r>
            <w:r w:rsidRPr="00A846FB">
              <w:rPr>
                <w:rFonts w:ascii="Calibri" w:eastAsia="Times New Roman" w:hAnsi="Calibri" w:cs="Calibri"/>
                <w:lang w:eastAsia="en-GB"/>
              </w:rPr>
              <w:t>%</w:t>
            </w:r>
          </w:p>
        </w:tc>
        <w:tc>
          <w:tcPr>
            <w:tcW w:w="960" w:type="dxa"/>
            <w:tcBorders>
              <w:top w:val="nil"/>
              <w:left w:val="nil"/>
              <w:bottom w:val="single" w:sz="4" w:space="0" w:color="auto"/>
              <w:right w:val="single" w:sz="4" w:space="0" w:color="auto"/>
            </w:tcBorders>
            <w:shd w:val="clear" w:color="auto" w:fill="auto"/>
            <w:noWrap/>
            <w:vAlign w:val="bottom"/>
            <w:hideMark/>
          </w:tcPr>
          <w:p w14:paraId="36B176DD" w14:textId="40356EE3" w:rsidR="001D4239" w:rsidRPr="00A846FB" w:rsidRDefault="001D4239" w:rsidP="0042364D">
            <w:pPr>
              <w:spacing w:after="0" w:line="240" w:lineRule="auto"/>
              <w:jc w:val="center"/>
              <w:rPr>
                <w:rFonts w:ascii="Calibri" w:eastAsia="Times New Roman" w:hAnsi="Calibri" w:cs="Calibri"/>
                <w:lang w:eastAsia="en-GB"/>
              </w:rPr>
            </w:pPr>
            <w:r>
              <w:rPr>
                <w:rFonts w:ascii="Calibri" w:eastAsia="Times New Roman" w:hAnsi="Calibri" w:cs="Calibri"/>
                <w:lang w:eastAsia="en-GB"/>
              </w:rPr>
              <w:t>33</w:t>
            </w:r>
            <w:r w:rsidRPr="00A846FB">
              <w:rPr>
                <w:rFonts w:ascii="Calibri" w:eastAsia="Times New Roman" w:hAnsi="Calibri" w:cs="Calibri"/>
                <w:lang w:eastAsia="en-GB"/>
              </w:rPr>
              <w:t>%</w:t>
            </w:r>
          </w:p>
        </w:tc>
      </w:tr>
    </w:tbl>
    <w:p w14:paraId="36B176E5" w14:textId="77777777" w:rsidR="00D968B5" w:rsidRDefault="00D968B5" w:rsidP="00D968B5">
      <w:pPr>
        <w:pStyle w:val="ListParagraph"/>
        <w:ind w:left="1440"/>
      </w:pPr>
    </w:p>
    <w:p w14:paraId="36B176E6" w14:textId="6F83C1E8" w:rsidR="00D968B5" w:rsidRDefault="00D968B5" w:rsidP="00D968B5">
      <w:pPr>
        <w:pStyle w:val="ListParagraph"/>
        <w:numPr>
          <w:ilvl w:val="1"/>
          <w:numId w:val="1"/>
        </w:numPr>
      </w:pPr>
      <w:r w:rsidRPr="00A846FB">
        <w:rPr>
          <w:rFonts w:ascii="Calibri" w:eastAsia="Times New Roman" w:hAnsi="Calibri" w:cs="Calibri"/>
          <w:lang w:eastAsia="en-GB"/>
        </w:rPr>
        <w:t xml:space="preserve">It is assumed that field trials will be at Brigade level from July </w:t>
      </w:r>
      <w:r>
        <w:rPr>
          <w:rFonts w:ascii="Calibri" w:eastAsia="Times New Roman" w:hAnsi="Calibri" w:cs="Calibri"/>
          <w:lang w:eastAsia="en-GB"/>
        </w:rPr>
        <w:t>20</w:t>
      </w:r>
      <w:r w:rsidRPr="00A846FB">
        <w:rPr>
          <w:rFonts w:ascii="Calibri" w:eastAsia="Times New Roman" w:hAnsi="Calibri" w:cs="Calibri"/>
          <w:lang w:eastAsia="en-GB"/>
        </w:rPr>
        <w:t xml:space="preserve">21 to August </w:t>
      </w:r>
      <w:r>
        <w:rPr>
          <w:rFonts w:ascii="Calibri" w:eastAsia="Times New Roman" w:hAnsi="Calibri" w:cs="Calibri"/>
          <w:lang w:eastAsia="en-GB"/>
        </w:rPr>
        <w:t>20</w:t>
      </w:r>
      <w:r w:rsidRPr="00A846FB">
        <w:rPr>
          <w:rFonts w:ascii="Calibri" w:eastAsia="Times New Roman" w:hAnsi="Calibri" w:cs="Calibri"/>
          <w:lang w:eastAsia="en-GB"/>
        </w:rPr>
        <w:t>22</w:t>
      </w:r>
      <w:r>
        <w:rPr>
          <w:rFonts w:ascii="Calibri" w:eastAsia="Times New Roman" w:hAnsi="Calibri" w:cs="Calibri"/>
          <w:lang w:eastAsia="en-GB"/>
        </w:rPr>
        <w:t xml:space="preserve"> and will require 2000 instantiations of the BMA</w:t>
      </w:r>
      <w:r w:rsidR="00C4683E">
        <w:rPr>
          <w:rFonts w:ascii="Calibri" w:eastAsia="Times New Roman" w:hAnsi="Calibri" w:cs="Calibri"/>
          <w:lang w:eastAsia="en-GB"/>
        </w:rPr>
        <w:t xml:space="preserve"> (which is part of the 17,000 required)</w:t>
      </w:r>
    </w:p>
    <w:p w14:paraId="36B176E7" w14:textId="77777777" w:rsidR="00D968B5" w:rsidRDefault="00D968B5" w:rsidP="00D968B5">
      <w:pPr>
        <w:pStyle w:val="ListParagraph"/>
      </w:pPr>
    </w:p>
    <w:p w14:paraId="36B176E8" w14:textId="77777777" w:rsidR="00B97A64" w:rsidRDefault="00B97A64" w:rsidP="00B97A64">
      <w:pPr>
        <w:pStyle w:val="ListParagraph"/>
        <w:numPr>
          <w:ilvl w:val="0"/>
          <w:numId w:val="1"/>
        </w:numPr>
      </w:pPr>
      <w:r>
        <w:t>Enhanced Dismount User Capability - Solution Scaling</w:t>
      </w:r>
    </w:p>
    <w:p w14:paraId="36B176E9" w14:textId="77777777" w:rsidR="00D968B5" w:rsidRDefault="00D968B5" w:rsidP="00FD0FAC">
      <w:pPr>
        <w:pStyle w:val="ListParagraph"/>
        <w:numPr>
          <w:ilvl w:val="1"/>
          <w:numId w:val="1"/>
        </w:numPr>
      </w:pPr>
      <w:r>
        <w:t>Assumed quantities: - 7,000 instantiations of the solution</w:t>
      </w:r>
    </w:p>
    <w:p w14:paraId="36B176EA" w14:textId="1A95B5BF" w:rsidR="00D968B5" w:rsidRDefault="00D968B5" w:rsidP="00FD0FAC">
      <w:pPr>
        <w:pStyle w:val="ListParagraph"/>
        <w:numPr>
          <w:ilvl w:val="1"/>
          <w:numId w:val="1"/>
        </w:numPr>
      </w:pPr>
      <w:r w:rsidRPr="00B97A64">
        <w:rPr>
          <w:rFonts w:ascii="Calibri" w:eastAsia="Times New Roman" w:hAnsi="Calibri" w:cs="Calibri"/>
          <w:color w:val="000000"/>
          <w:lang w:eastAsia="en-GB"/>
        </w:rPr>
        <w:t>It is assumed the Enhanced Dismount requirements are to provide the Software only</w:t>
      </w:r>
      <w:r>
        <w:t>.</w:t>
      </w:r>
    </w:p>
    <w:p w14:paraId="36B176EB" w14:textId="77777777" w:rsidR="00D968B5" w:rsidRDefault="00D968B5" w:rsidP="00FD0FAC">
      <w:pPr>
        <w:pStyle w:val="ListParagraph"/>
        <w:numPr>
          <w:ilvl w:val="1"/>
          <w:numId w:val="1"/>
        </w:numPr>
      </w:pPr>
      <w:r>
        <w:t>Hardware on which the solution is to be used will be subject to a separate procurement.</w:t>
      </w:r>
    </w:p>
    <w:p w14:paraId="36B176EC" w14:textId="77777777" w:rsidR="00D968B5" w:rsidRDefault="00D968B5" w:rsidP="00FD0FAC">
      <w:pPr>
        <w:pStyle w:val="ListParagraph"/>
        <w:numPr>
          <w:ilvl w:val="1"/>
          <w:numId w:val="1"/>
        </w:numPr>
      </w:pPr>
      <w:r>
        <w:t>Assumed rollout profile:</w:t>
      </w:r>
      <w:bookmarkStart w:id="0" w:name="_GoBack"/>
      <w:bookmarkEnd w:id="0"/>
    </w:p>
    <w:tbl>
      <w:tblPr>
        <w:tblW w:w="6267" w:type="dxa"/>
        <w:tblInd w:w="1555" w:type="dxa"/>
        <w:tblLook w:val="04A0" w:firstRow="1" w:lastRow="0" w:firstColumn="1" w:lastColumn="0" w:noHBand="0" w:noVBand="1"/>
      </w:tblPr>
      <w:tblGrid>
        <w:gridCol w:w="1474"/>
        <w:gridCol w:w="1199"/>
        <w:gridCol w:w="1198"/>
        <w:gridCol w:w="1198"/>
        <w:gridCol w:w="1198"/>
      </w:tblGrid>
      <w:tr w:rsidR="001D4239" w:rsidRPr="00B97A64" w14:paraId="36B176F7" w14:textId="77777777" w:rsidTr="001D4239">
        <w:trPr>
          <w:trHeight w:val="300"/>
        </w:trPr>
        <w:tc>
          <w:tcPr>
            <w:tcW w:w="14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B176ED" w14:textId="77777777" w:rsidR="001D4239" w:rsidRPr="00B97A64" w:rsidRDefault="001D4239" w:rsidP="00B97A64">
            <w:pPr>
              <w:spacing w:after="0" w:line="240" w:lineRule="auto"/>
              <w:rPr>
                <w:rFonts w:ascii="Calibri" w:eastAsia="Times New Roman" w:hAnsi="Calibri" w:cs="Calibri"/>
                <w:color w:val="000000"/>
                <w:lang w:eastAsia="en-GB"/>
              </w:rPr>
            </w:pPr>
            <w:r w:rsidRPr="00B97A64">
              <w:rPr>
                <w:rFonts w:ascii="Calibri" w:eastAsia="Times New Roman" w:hAnsi="Calibri" w:cs="Calibri"/>
                <w:color w:val="000000"/>
                <w:lang w:eastAsia="en-GB"/>
              </w:rPr>
              <w:t>20/21</w:t>
            </w:r>
          </w:p>
        </w:tc>
        <w:tc>
          <w:tcPr>
            <w:tcW w:w="1199" w:type="dxa"/>
            <w:tcBorders>
              <w:top w:val="single" w:sz="4" w:space="0" w:color="auto"/>
              <w:left w:val="nil"/>
              <w:bottom w:val="single" w:sz="4" w:space="0" w:color="auto"/>
              <w:right w:val="single" w:sz="4" w:space="0" w:color="auto"/>
            </w:tcBorders>
            <w:shd w:val="clear" w:color="auto" w:fill="auto"/>
            <w:noWrap/>
            <w:vAlign w:val="bottom"/>
            <w:hideMark/>
          </w:tcPr>
          <w:p w14:paraId="36B176EE" w14:textId="77777777" w:rsidR="001D4239" w:rsidRPr="00B97A64" w:rsidRDefault="001D4239" w:rsidP="00B97A64">
            <w:pPr>
              <w:spacing w:after="0" w:line="240" w:lineRule="auto"/>
              <w:rPr>
                <w:rFonts w:ascii="Calibri" w:eastAsia="Times New Roman" w:hAnsi="Calibri" w:cs="Calibri"/>
                <w:color w:val="000000"/>
                <w:lang w:eastAsia="en-GB"/>
              </w:rPr>
            </w:pPr>
            <w:r w:rsidRPr="00B97A64">
              <w:rPr>
                <w:rFonts w:ascii="Calibri" w:eastAsia="Times New Roman" w:hAnsi="Calibri" w:cs="Calibri"/>
                <w:color w:val="000000"/>
                <w:lang w:eastAsia="en-GB"/>
              </w:rPr>
              <w:t>21/22</w:t>
            </w:r>
          </w:p>
        </w:tc>
        <w:tc>
          <w:tcPr>
            <w:tcW w:w="1198" w:type="dxa"/>
            <w:tcBorders>
              <w:top w:val="single" w:sz="4" w:space="0" w:color="auto"/>
              <w:left w:val="nil"/>
              <w:bottom w:val="single" w:sz="4" w:space="0" w:color="auto"/>
              <w:right w:val="single" w:sz="4" w:space="0" w:color="auto"/>
            </w:tcBorders>
            <w:shd w:val="clear" w:color="auto" w:fill="auto"/>
            <w:noWrap/>
            <w:vAlign w:val="bottom"/>
            <w:hideMark/>
          </w:tcPr>
          <w:p w14:paraId="36B176EF" w14:textId="77777777" w:rsidR="001D4239" w:rsidRPr="00B97A64" w:rsidRDefault="001D4239" w:rsidP="00B97A64">
            <w:pPr>
              <w:spacing w:after="0" w:line="240" w:lineRule="auto"/>
              <w:rPr>
                <w:rFonts w:ascii="Calibri" w:eastAsia="Times New Roman" w:hAnsi="Calibri" w:cs="Calibri"/>
                <w:color w:val="000000"/>
                <w:lang w:eastAsia="en-GB"/>
              </w:rPr>
            </w:pPr>
            <w:r w:rsidRPr="00B97A64">
              <w:rPr>
                <w:rFonts w:ascii="Calibri" w:eastAsia="Times New Roman" w:hAnsi="Calibri" w:cs="Calibri"/>
                <w:color w:val="000000"/>
                <w:lang w:eastAsia="en-GB"/>
              </w:rPr>
              <w:t>22/23</w:t>
            </w:r>
          </w:p>
        </w:tc>
        <w:tc>
          <w:tcPr>
            <w:tcW w:w="1198" w:type="dxa"/>
            <w:tcBorders>
              <w:top w:val="single" w:sz="4" w:space="0" w:color="auto"/>
              <w:left w:val="nil"/>
              <w:bottom w:val="single" w:sz="4" w:space="0" w:color="auto"/>
              <w:right w:val="single" w:sz="4" w:space="0" w:color="auto"/>
            </w:tcBorders>
            <w:shd w:val="clear" w:color="auto" w:fill="auto"/>
            <w:noWrap/>
            <w:vAlign w:val="bottom"/>
            <w:hideMark/>
          </w:tcPr>
          <w:p w14:paraId="36B176F0" w14:textId="77777777" w:rsidR="001D4239" w:rsidRPr="00B97A64" w:rsidRDefault="001D4239" w:rsidP="00B97A64">
            <w:pPr>
              <w:spacing w:after="0" w:line="240" w:lineRule="auto"/>
              <w:rPr>
                <w:rFonts w:ascii="Calibri" w:eastAsia="Times New Roman" w:hAnsi="Calibri" w:cs="Calibri"/>
                <w:color w:val="000000"/>
                <w:lang w:eastAsia="en-GB"/>
              </w:rPr>
            </w:pPr>
            <w:r w:rsidRPr="00B97A64">
              <w:rPr>
                <w:rFonts w:ascii="Calibri" w:eastAsia="Times New Roman" w:hAnsi="Calibri" w:cs="Calibri"/>
                <w:color w:val="000000"/>
                <w:lang w:eastAsia="en-GB"/>
              </w:rPr>
              <w:t>23/24</w:t>
            </w:r>
          </w:p>
        </w:tc>
        <w:tc>
          <w:tcPr>
            <w:tcW w:w="1198" w:type="dxa"/>
            <w:tcBorders>
              <w:top w:val="single" w:sz="4" w:space="0" w:color="auto"/>
              <w:left w:val="nil"/>
              <w:bottom w:val="single" w:sz="4" w:space="0" w:color="auto"/>
              <w:right w:val="single" w:sz="4" w:space="0" w:color="auto"/>
            </w:tcBorders>
            <w:shd w:val="clear" w:color="auto" w:fill="auto"/>
            <w:noWrap/>
            <w:vAlign w:val="bottom"/>
            <w:hideMark/>
          </w:tcPr>
          <w:p w14:paraId="36B176F1" w14:textId="77777777" w:rsidR="001D4239" w:rsidRPr="00B97A64" w:rsidRDefault="001D4239" w:rsidP="00B97A64">
            <w:pPr>
              <w:spacing w:after="0" w:line="240" w:lineRule="auto"/>
              <w:rPr>
                <w:rFonts w:ascii="Calibri" w:eastAsia="Times New Roman" w:hAnsi="Calibri" w:cs="Calibri"/>
                <w:color w:val="000000"/>
                <w:lang w:eastAsia="en-GB"/>
              </w:rPr>
            </w:pPr>
            <w:r w:rsidRPr="00B97A64">
              <w:rPr>
                <w:rFonts w:ascii="Calibri" w:eastAsia="Times New Roman" w:hAnsi="Calibri" w:cs="Calibri"/>
                <w:color w:val="000000"/>
                <w:lang w:eastAsia="en-GB"/>
              </w:rPr>
              <w:t>24/25</w:t>
            </w:r>
          </w:p>
        </w:tc>
      </w:tr>
      <w:tr w:rsidR="001D4239" w:rsidRPr="00B97A64" w14:paraId="36B17702" w14:textId="77777777" w:rsidTr="001D4239">
        <w:trPr>
          <w:trHeight w:val="300"/>
        </w:trPr>
        <w:tc>
          <w:tcPr>
            <w:tcW w:w="1474" w:type="dxa"/>
            <w:tcBorders>
              <w:top w:val="nil"/>
              <w:left w:val="single" w:sz="4" w:space="0" w:color="auto"/>
              <w:bottom w:val="single" w:sz="4" w:space="0" w:color="auto"/>
              <w:right w:val="single" w:sz="4" w:space="0" w:color="auto"/>
            </w:tcBorders>
            <w:shd w:val="clear" w:color="auto" w:fill="auto"/>
            <w:noWrap/>
            <w:vAlign w:val="bottom"/>
            <w:hideMark/>
          </w:tcPr>
          <w:p w14:paraId="36B176F8" w14:textId="77777777" w:rsidR="001D4239" w:rsidRPr="00B97A64" w:rsidRDefault="001D4239" w:rsidP="00B97A64">
            <w:pPr>
              <w:spacing w:after="0" w:line="240" w:lineRule="auto"/>
              <w:rPr>
                <w:rFonts w:ascii="Calibri" w:eastAsia="Times New Roman" w:hAnsi="Calibri" w:cs="Calibri"/>
                <w:color w:val="FF0000"/>
                <w:lang w:eastAsia="en-GB"/>
              </w:rPr>
            </w:pPr>
            <w:r w:rsidRPr="00B97A64">
              <w:rPr>
                <w:rFonts w:ascii="Calibri" w:eastAsia="Times New Roman" w:hAnsi="Calibri" w:cs="Calibri"/>
                <w:color w:val="FF0000"/>
                <w:lang w:eastAsia="en-GB"/>
              </w:rPr>
              <w:t> </w:t>
            </w:r>
          </w:p>
        </w:tc>
        <w:tc>
          <w:tcPr>
            <w:tcW w:w="1199" w:type="dxa"/>
            <w:tcBorders>
              <w:top w:val="nil"/>
              <w:left w:val="nil"/>
              <w:bottom w:val="single" w:sz="4" w:space="0" w:color="auto"/>
              <w:right w:val="single" w:sz="4" w:space="0" w:color="auto"/>
            </w:tcBorders>
            <w:shd w:val="clear" w:color="auto" w:fill="auto"/>
            <w:noWrap/>
            <w:vAlign w:val="bottom"/>
            <w:hideMark/>
          </w:tcPr>
          <w:p w14:paraId="36B176F9" w14:textId="77777777" w:rsidR="001D4239" w:rsidRPr="00B97A64" w:rsidRDefault="001D4239" w:rsidP="00B97A64">
            <w:pPr>
              <w:spacing w:after="0" w:line="240" w:lineRule="auto"/>
              <w:rPr>
                <w:rFonts w:ascii="Calibri" w:eastAsia="Times New Roman" w:hAnsi="Calibri" w:cs="Calibri"/>
                <w:color w:val="FF0000"/>
                <w:lang w:eastAsia="en-GB"/>
              </w:rPr>
            </w:pPr>
            <w:r w:rsidRPr="00B97A64">
              <w:rPr>
                <w:rFonts w:ascii="Calibri" w:eastAsia="Times New Roman" w:hAnsi="Calibri" w:cs="Calibri"/>
                <w:color w:val="FF0000"/>
                <w:lang w:eastAsia="en-GB"/>
              </w:rPr>
              <w:t> </w:t>
            </w:r>
          </w:p>
        </w:tc>
        <w:tc>
          <w:tcPr>
            <w:tcW w:w="1198" w:type="dxa"/>
            <w:tcBorders>
              <w:top w:val="nil"/>
              <w:left w:val="nil"/>
              <w:bottom w:val="single" w:sz="4" w:space="0" w:color="auto"/>
              <w:right w:val="single" w:sz="4" w:space="0" w:color="auto"/>
            </w:tcBorders>
            <w:shd w:val="clear" w:color="auto" w:fill="auto"/>
            <w:noWrap/>
            <w:vAlign w:val="bottom"/>
            <w:hideMark/>
          </w:tcPr>
          <w:p w14:paraId="36B176FA" w14:textId="77777777" w:rsidR="001D4239" w:rsidRPr="00B97A64" w:rsidRDefault="001D4239" w:rsidP="00B97A64">
            <w:pPr>
              <w:spacing w:after="0" w:line="240" w:lineRule="auto"/>
              <w:rPr>
                <w:rFonts w:ascii="Calibri" w:eastAsia="Times New Roman" w:hAnsi="Calibri" w:cs="Calibri"/>
                <w:color w:val="FF0000"/>
                <w:lang w:eastAsia="en-GB"/>
              </w:rPr>
            </w:pPr>
            <w:r w:rsidRPr="00B97A64">
              <w:rPr>
                <w:rFonts w:ascii="Calibri" w:eastAsia="Times New Roman" w:hAnsi="Calibri" w:cs="Calibri"/>
                <w:color w:val="FF0000"/>
                <w:lang w:eastAsia="en-GB"/>
              </w:rPr>
              <w:t> </w:t>
            </w:r>
          </w:p>
        </w:tc>
        <w:tc>
          <w:tcPr>
            <w:tcW w:w="1198" w:type="dxa"/>
            <w:tcBorders>
              <w:top w:val="nil"/>
              <w:left w:val="nil"/>
              <w:bottom w:val="single" w:sz="4" w:space="0" w:color="auto"/>
              <w:right w:val="single" w:sz="4" w:space="0" w:color="auto"/>
            </w:tcBorders>
            <w:shd w:val="clear" w:color="auto" w:fill="auto"/>
            <w:noWrap/>
            <w:vAlign w:val="bottom"/>
            <w:hideMark/>
          </w:tcPr>
          <w:p w14:paraId="36B176FB" w14:textId="5D53CE32" w:rsidR="001D4239" w:rsidRPr="00B97A64" w:rsidRDefault="001D4239" w:rsidP="0042364D">
            <w:pPr>
              <w:spacing w:after="0" w:line="240" w:lineRule="auto"/>
              <w:jc w:val="center"/>
              <w:rPr>
                <w:rFonts w:ascii="Calibri" w:eastAsia="Times New Roman" w:hAnsi="Calibri" w:cs="Calibri"/>
                <w:lang w:eastAsia="en-GB"/>
              </w:rPr>
            </w:pPr>
            <w:r>
              <w:rPr>
                <w:rFonts w:ascii="Calibri" w:eastAsia="Times New Roman" w:hAnsi="Calibri" w:cs="Calibri"/>
                <w:lang w:eastAsia="en-GB"/>
              </w:rPr>
              <w:t>33</w:t>
            </w:r>
            <w:r w:rsidRPr="00B97A64">
              <w:rPr>
                <w:rFonts w:ascii="Calibri" w:eastAsia="Times New Roman" w:hAnsi="Calibri" w:cs="Calibri"/>
                <w:lang w:eastAsia="en-GB"/>
              </w:rPr>
              <w:t>%</w:t>
            </w:r>
          </w:p>
        </w:tc>
        <w:tc>
          <w:tcPr>
            <w:tcW w:w="1198" w:type="dxa"/>
            <w:tcBorders>
              <w:top w:val="nil"/>
              <w:left w:val="nil"/>
              <w:bottom w:val="single" w:sz="4" w:space="0" w:color="auto"/>
              <w:right w:val="single" w:sz="4" w:space="0" w:color="auto"/>
            </w:tcBorders>
            <w:shd w:val="clear" w:color="auto" w:fill="auto"/>
            <w:noWrap/>
            <w:vAlign w:val="bottom"/>
            <w:hideMark/>
          </w:tcPr>
          <w:p w14:paraId="36B176FC" w14:textId="19FDE432" w:rsidR="001D4239" w:rsidRPr="00B97A64" w:rsidRDefault="001D4239" w:rsidP="0042364D">
            <w:pPr>
              <w:spacing w:after="0" w:line="240" w:lineRule="auto"/>
              <w:jc w:val="center"/>
              <w:rPr>
                <w:rFonts w:ascii="Calibri" w:eastAsia="Times New Roman" w:hAnsi="Calibri" w:cs="Calibri"/>
                <w:lang w:eastAsia="en-GB"/>
              </w:rPr>
            </w:pPr>
            <w:r>
              <w:rPr>
                <w:rFonts w:ascii="Calibri" w:eastAsia="Times New Roman" w:hAnsi="Calibri" w:cs="Calibri"/>
                <w:lang w:eastAsia="en-GB"/>
              </w:rPr>
              <w:t>67</w:t>
            </w:r>
            <w:r w:rsidRPr="00B97A64">
              <w:rPr>
                <w:rFonts w:ascii="Calibri" w:eastAsia="Times New Roman" w:hAnsi="Calibri" w:cs="Calibri"/>
                <w:lang w:eastAsia="en-GB"/>
              </w:rPr>
              <w:t>%</w:t>
            </w:r>
          </w:p>
        </w:tc>
      </w:tr>
    </w:tbl>
    <w:p w14:paraId="36B17703" w14:textId="77777777" w:rsidR="00B97A64" w:rsidRDefault="00B97A64" w:rsidP="00B97A64">
      <w:pPr>
        <w:pStyle w:val="ListParagraph"/>
      </w:pPr>
    </w:p>
    <w:p w14:paraId="36B17704" w14:textId="77777777" w:rsidR="00B97A64" w:rsidRDefault="00B97A64" w:rsidP="00B97A64">
      <w:pPr>
        <w:pStyle w:val="ListParagraph"/>
      </w:pPr>
    </w:p>
    <w:p w14:paraId="36B17705" w14:textId="77777777" w:rsidR="00D968B5" w:rsidRDefault="00D968B5">
      <w:r>
        <w:br w:type="page"/>
      </w:r>
    </w:p>
    <w:p w14:paraId="36B17706" w14:textId="77777777" w:rsidR="00B97A64" w:rsidRDefault="00D968B5" w:rsidP="00B82C37">
      <w:pPr>
        <w:pStyle w:val="ListParagraph"/>
        <w:numPr>
          <w:ilvl w:val="0"/>
          <w:numId w:val="1"/>
        </w:numPr>
      </w:pPr>
      <w:r>
        <w:lastRenderedPageBreak/>
        <w:t>Development  Services</w:t>
      </w:r>
    </w:p>
    <w:p w14:paraId="36B17707" w14:textId="77777777" w:rsidR="00D968B5" w:rsidRDefault="00D968B5" w:rsidP="00D95C7B">
      <w:pPr>
        <w:pStyle w:val="ListParagraph"/>
        <w:numPr>
          <w:ilvl w:val="1"/>
          <w:numId w:val="1"/>
        </w:numPr>
      </w:pPr>
      <w:r>
        <w:t>Assumed scope of work – when providing effort estimates for the scenarios listed please assume that the following is inside scope:</w:t>
      </w:r>
    </w:p>
    <w:p w14:paraId="36B17708" w14:textId="77777777" w:rsidR="00D968B5" w:rsidRDefault="00D968B5" w:rsidP="00D95C7B">
      <w:pPr>
        <w:pStyle w:val="ListParagraph"/>
        <w:numPr>
          <w:ilvl w:val="2"/>
          <w:numId w:val="1"/>
        </w:numPr>
      </w:pPr>
      <w:r w:rsidRPr="00D968B5">
        <w:t xml:space="preserve">Updates to the software functionality </w:t>
      </w:r>
    </w:p>
    <w:p w14:paraId="36B17709" w14:textId="77777777" w:rsidR="00D968B5" w:rsidRDefault="00D968B5" w:rsidP="00D95C7B">
      <w:pPr>
        <w:pStyle w:val="ListParagraph"/>
        <w:numPr>
          <w:ilvl w:val="2"/>
          <w:numId w:val="1"/>
        </w:numPr>
      </w:pPr>
      <w:r w:rsidRPr="00D968B5">
        <w:t>Updates to technical documentation</w:t>
      </w:r>
    </w:p>
    <w:p w14:paraId="36B1770A" w14:textId="77777777" w:rsidR="00D968B5" w:rsidRDefault="00D968B5" w:rsidP="00D95C7B">
      <w:pPr>
        <w:pStyle w:val="ListParagraph"/>
        <w:numPr>
          <w:ilvl w:val="2"/>
          <w:numId w:val="1"/>
        </w:numPr>
      </w:pPr>
      <w:r w:rsidRPr="00D968B5">
        <w:t>Application testing (including qualification verification, openness qualification and certificate of conformance)</w:t>
      </w:r>
    </w:p>
    <w:p w14:paraId="36B1770B" w14:textId="77777777" w:rsidR="00D968B5" w:rsidRDefault="00D968B5" w:rsidP="00D95C7B">
      <w:pPr>
        <w:pStyle w:val="ListParagraph"/>
        <w:numPr>
          <w:ilvl w:val="2"/>
          <w:numId w:val="1"/>
        </w:numPr>
      </w:pPr>
      <w:r w:rsidRPr="00D968B5">
        <w:t>Support to the integration of the application onto device(s)</w:t>
      </w:r>
    </w:p>
    <w:p w14:paraId="36B1770C" w14:textId="77777777" w:rsidR="00D968B5" w:rsidRDefault="00D968B5" w:rsidP="00D95C7B">
      <w:pPr>
        <w:pStyle w:val="ListParagraph"/>
        <w:numPr>
          <w:ilvl w:val="2"/>
          <w:numId w:val="1"/>
        </w:numPr>
      </w:pPr>
      <w:r w:rsidRPr="00D968B5">
        <w:t>Any updates required to the TNA/training pack</w:t>
      </w:r>
    </w:p>
    <w:p w14:paraId="36B1770D" w14:textId="77777777" w:rsidR="00D95C7B" w:rsidRDefault="00D95C7B" w:rsidP="00D95C7B">
      <w:pPr>
        <w:pStyle w:val="ListParagraph"/>
        <w:numPr>
          <w:ilvl w:val="1"/>
          <w:numId w:val="1"/>
        </w:numPr>
      </w:pPr>
      <w:r w:rsidRPr="00D95C7B">
        <w:t>It is assumed that an "MOD App Specialist" is able to undertake the types of activities that could be done with administration rights (e.g. configuration changes, layout changes if the tool supports this).  It is assumed the "MOD App Specialist" would not undertake code writing activities.</w:t>
      </w:r>
    </w:p>
    <w:p w14:paraId="36B1770E" w14:textId="77777777" w:rsidR="00D95C7B" w:rsidRDefault="00D95C7B" w:rsidP="00D95C7B">
      <w:pPr>
        <w:pStyle w:val="ListParagraph"/>
      </w:pPr>
    </w:p>
    <w:p w14:paraId="36B1770F" w14:textId="77777777" w:rsidR="00D95C7B" w:rsidRDefault="00D95C7B" w:rsidP="00D95C7B">
      <w:pPr>
        <w:pStyle w:val="ListParagraph"/>
        <w:numPr>
          <w:ilvl w:val="0"/>
          <w:numId w:val="1"/>
        </w:numPr>
      </w:pPr>
      <w:r>
        <w:t>In Service Software Support</w:t>
      </w:r>
    </w:p>
    <w:p w14:paraId="36B17710" w14:textId="77777777" w:rsidR="00D95C7B" w:rsidRDefault="00D95C7B" w:rsidP="00D95C7B">
      <w:pPr>
        <w:pStyle w:val="ListParagraph"/>
        <w:numPr>
          <w:ilvl w:val="1"/>
          <w:numId w:val="1"/>
        </w:numPr>
      </w:pPr>
      <w:r w:rsidRPr="00D95C7B">
        <w:t>It is assumed the "MOD App Specialist" would deal with queries and advise Users on correct procedures and collate/report faults (i.e. minimise "user error" being reported as a fault with the application).  They would not deal with anything more than 1st line/front line support.</w:t>
      </w:r>
    </w:p>
    <w:p w14:paraId="36B17711" w14:textId="77777777" w:rsidR="00D95C7B" w:rsidRDefault="00D95C7B" w:rsidP="00D95C7B">
      <w:pPr>
        <w:pStyle w:val="ListParagraph"/>
      </w:pPr>
    </w:p>
    <w:p w14:paraId="36B17712" w14:textId="77777777" w:rsidR="00D95C7B" w:rsidRPr="00A846FB" w:rsidRDefault="00D95C7B" w:rsidP="00D95C7B">
      <w:pPr>
        <w:rPr>
          <w:b/>
        </w:rPr>
      </w:pPr>
      <w:r>
        <w:rPr>
          <w:b/>
        </w:rPr>
        <w:t>Authority Cost</w:t>
      </w:r>
      <w:r w:rsidRPr="00A846FB">
        <w:rPr>
          <w:b/>
        </w:rPr>
        <w:t xml:space="preserve"> Assumptions</w:t>
      </w:r>
    </w:p>
    <w:p w14:paraId="36B17713" w14:textId="3D278713" w:rsidR="00D95C7B" w:rsidRDefault="00D95C7B" w:rsidP="00D95C7B">
      <w:pPr>
        <w:pStyle w:val="ListParagraph"/>
        <w:numPr>
          <w:ilvl w:val="0"/>
          <w:numId w:val="1"/>
        </w:numPr>
      </w:pPr>
      <w:r w:rsidRPr="00D95C7B">
        <w:t xml:space="preserve">The following inflation rates will be applied to </w:t>
      </w:r>
      <w:r w:rsidR="00C73B24">
        <w:t>MOD related costs for manpower</w:t>
      </w:r>
      <w:r w:rsidRPr="00D95C7B">
        <w:t xml:space="preserve"> and equipment.  </w:t>
      </w:r>
      <w:r w:rsidR="001D4239">
        <w:t>The GDP deflator to be applied</w:t>
      </w:r>
      <w:r w:rsidR="00C73B24">
        <w:t xml:space="preserve"> in calculating NPV is also given</w:t>
      </w:r>
      <w:r w:rsidRPr="00D95C7B">
        <w:t>.</w:t>
      </w:r>
      <w:r w:rsidR="00C73B24">
        <w:t xml:space="preserve">  </w:t>
      </w:r>
    </w:p>
    <w:tbl>
      <w:tblPr>
        <w:tblW w:w="10631" w:type="dxa"/>
        <w:tblInd w:w="704" w:type="dxa"/>
        <w:tblLook w:val="04A0" w:firstRow="1" w:lastRow="0" w:firstColumn="1" w:lastColumn="0" w:noHBand="0" w:noVBand="1"/>
      </w:tblPr>
      <w:tblGrid>
        <w:gridCol w:w="2126"/>
        <w:gridCol w:w="1134"/>
        <w:gridCol w:w="1134"/>
        <w:gridCol w:w="1134"/>
        <w:gridCol w:w="1134"/>
        <w:gridCol w:w="1418"/>
        <w:gridCol w:w="1276"/>
        <w:gridCol w:w="1275"/>
      </w:tblGrid>
      <w:tr w:rsidR="001D4239" w:rsidRPr="00D95C7B" w14:paraId="36B17722" w14:textId="77777777" w:rsidTr="001D4239">
        <w:trPr>
          <w:trHeight w:val="300"/>
        </w:trPr>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B17714" w14:textId="77777777" w:rsidR="001D4239" w:rsidRPr="00D95C7B" w:rsidRDefault="001D4239" w:rsidP="00D95C7B">
            <w:pPr>
              <w:spacing w:after="0" w:line="240" w:lineRule="auto"/>
              <w:rPr>
                <w:rFonts w:ascii="Calibri" w:eastAsia="Times New Roman" w:hAnsi="Calibri" w:cs="Calibri"/>
                <w:color w:val="000000"/>
                <w:lang w:eastAsia="en-GB"/>
              </w:rPr>
            </w:pPr>
            <w:r w:rsidRPr="00D95C7B">
              <w:rPr>
                <w:rFonts w:ascii="Calibri" w:eastAsia="Times New Roman" w:hAnsi="Calibri" w:cs="Calibri"/>
                <w:color w:val="000000"/>
                <w:lang w:eastAsia="en-GB"/>
              </w:rPr>
              <w:t> </w:t>
            </w:r>
          </w:p>
        </w:tc>
        <w:tc>
          <w:tcPr>
            <w:tcW w:w="1134" w:type="dxa"/>
            <w:tcBorders>
              <w:top w:val="single" w:sz="4" w:space="0" w:color="auto"/>
              <w:left w:val="nil"/>
              <w:bottom w:val="single" w:sz="4" w:space="0" w:color="auto"/>
              <w:right w:val="single" w:sz="4" w:space="0" w:color="auto"/>
            </w:tcBorders>
            <w:shd w:val="clear" w:color="000000" w:fill="FFFFCC"/>
            <w:noWrap/>
            <w:vAlign w:val="bottom"/>
            <w:hideMark/>
          </w:tcPr>
          <w:p w14:paraId="36B17716" w14:textId="77777777" w:rsidR="001D4239" w:rsidRPr="00D95C7B" w:rsidRDefault="001D4239" w:rsidP="00D95C7B">
            <w:pPr>
              <w:spacing w:after="0" w:line="240" w:lineRule="auto"/>
              <w:jc w:val="center"/>
              <w:rPr>
                <w:rFonts w:ascii="Calibri" w:eastAsia="Times New Roman" w:hAnsi="Calibri" w:cs="Calibri"/>
                <w:color w:val="000000"/>
                <w:lang w:eastAsia="en-GB"/>
              </w:rPr>
            </w:pPr>
            <w:r w:rsidRPr="00D95C7B">
              <w:rPr>
                <w:rFonts w:ascii="Calibri" w:eastAsia="Times New Roman" w:hAnsi="Calibri" w:cs="Calibri"/>
                <w:color w:val="000000"/>
                <w:lang w:eastAsia="en-GB"/>
              </w:rPr>
              <w:t>18/19</w:t>
            </w:r>
          </w:p>
        </w:tc>
        <w:tc>
          <w:tcPr>
            <w:tcW w:w="1134" w:type="dxa"/>
            <w:tcBorders>
              <w:top w:val="single" w:sz="4" w:space="0" w:color="auto"/>
              <w:left w:val="nil"/>
              <w:bottom w:val="single" w:sz="4" w:space="0" w:color="auto"/>
              <w:right w:val="single" w:sz="4" w:space="0" w:color="auto"/>
            </w:tcBorders>
            <w:shd w:val="clear" w:color="000000" w:fill="FFFFCC"/>
            <w:noWrap/>
            <w:vAlign w:val="bottom"/>
            <w:hideMark/>
          </w:tcPr>
          <w:p w14:paraId="36B17717" w14:textId="77777777" w:rsidR="001D4239" w:rsidRPr="00D95C7B" w:rsidRDefault="001D4239" w:rsidP="00D95C7B">
            <w:pPr>
              <w:spacing w:after="0" w:line="240" w:lineRule="auto"/>
              <w:jc w:val="center"/>
              <w:rPr>
                <w:rFonts w:ascii="Calibri" w:eastAsia="Times New Roman" w:hAnsi="Calibri" w:cs="Calibri"/>
                <w:color w:val="000000"/>
                <w:lang w:eastAsia="en-GB"/>
              </w:rPr>
            </w:pPr>
            <w:r w:rsidRPr="00D95C7B">
              <w:rPr>
                <w:rFonts w:ascii="Calibri" w:eastAsia="Times New Roman" w:hAnsi="Calibri" w:cs="Calibri"/>
                <w:color w:val="000000"/>
                <w:lang w:eastAsia="en-GB"/>
              </w:rPr>
              <w:t>19/20</w:t>
            </w:r>
          </w:p>
        </w:tc>
        <w:tc>
          <w:tcPr>
            <w:tcW w:w="1134" w:type="dxa"/>
            <w:tcBorders>
              <w:top w:val="single" w:sz="4" w:space="0" w:color="auto"/>
              <w:left w:val="nil"/>
              <w:bottom w:val="single" w:sz="4" w:space="0" w:color="auto"/>
              <w:right w:val="single" w:sz="4" w:space="0" w:color="auto"/>
            </w:tcBorders>
            <w:shd w:val="clear" w:color="000000" w:fill="FFFFCC"/>
            <w:noWrap/>
            <w:vAlign w:val="bottom"/>
            <w:hideMark/>
          </w:tcPr>
          <w:p w14:paraId="36B17718" w14:textId="77777777" w:rsidR="001D4239" w:rsidRPr="00D95C7B" w:rsidRDefault="001D4239" w:rsidP="00D95C7B">
            <w:pPr>
              <w:spacing w:after="0" w:line="240" w:lineRule="auto"/>
              <w:jc w:val="center"/>
              <w:rPr>
                <w:rFonts w:ascii="Calibri" w:eastAsia="Times New Roman" w:hAnsi="Calibri" w:cs="Calibri"/>
                <w:color w:val="000000"/>
                <w:lang w:eastAsia="en-GB"/>
              </w:rPr>
            </w:pPr>
            <w:r w:rsidRPr="00D95C7B">
              <w:rPr>
                <w:rFonts w:ascii="Calibri" w:eastAsia="Times New Roman" w:hAnsi="Calibri" w:cs="Calibri"/>
                <w:color w:val="000000"/>
                <w:lang w:eastAsia="en-GB"/>
              </w:rPr>
              <w:t>20/21</w:t>
            </w:r>
          </w:p>
        </w:tc>
        <w:tc>
          <w:tcPr>
            <w:tcW w:w="1134" w:type="dxa"/>
            <w:tcBorders>
              <w:top w:val="single" w:sz="4" w:space="0" w:color="auto"/>
              <w:left w:val="nil"/>
              <w:bottom w:val="single" w:sz="4" w:space="0" w:color="auto"/>
              <w:right w:val="single" w:sz="4" w:space="0" w:color="auto"/>
            </w:tcBorders>
            <w:shd w:val="clear" w:color="000000" w:fill="FFFFCC"/>
            <w:noWrap/>
            <w:vAlign w:val="bottom"/>
            <w:hideMark/>
          </w:tcPr>
          <w:p w14:paraId="36B17719" w14:textId="77777777" w:rsidR="001D4239" w:rsidRPr="00D95C7B" w:rsidRDefault="001D4239" w:rsidP="00D95C7B">
            <w:pPr>
              <w:spacing w:after="0" w:line="240" w:lineRule="auto"/>
              <w:jc w:val="center"/>
              <w:rPr>
                <w:rFonts w:ascii="Calibri" w:eastAsia="Times New Roman" w:hAnsi="Calibri" w:cs="Calibri"/>
                <w:color w:val="000000"/>
                <w:lang w:eastAsia="en-GB"/>
              </w:rPr>
            </w:pPr>
            <w:r w:rsidRPr="00D95C7B">
              <w:rPr>
                <w:rFonts w:ascii="Calibri" w:eastAsia="Times New Roman" w:hAnsi="Calibri" w:cs="Calibri"/>
                <w:color w:val="000000"/>
                <w:lang w:eastAsia="en-GB"/>
              </w:rPr>
              <w:t>21/22</w:t>
            </w:r>
          </w:p>
        </w:tc>
        <w:tc>
          <w:tcPr>
            <w:tcW w:w="1418" w:type="dxa"/>
            <w:tcBorders>
              <w:top w:val="single" w:sz="4" w:space="0" w:color="auto"/>
              <w:left w:val="nil"/>
              <w:bottom w:val="single" w:sz="4" w:space="0" w:color="auto"/>
              <w:right w:val="single" w:sz="4" w:space="0" w:color="auto"/>
            </w:tcBorders>
            <w:shd w:val="clear" w:color="000000" w:fill="FFFFCC"/>
            <w:noWrap/>
            <w:vAlign w:val="bottom"/>
            <w:hideMark/>
          </w:tcPr>
          <w:p w14:paraId="36B1771A" w14:textId="77777777" w:rsidR="001D4239" w:rsidRPr="00D95C7B" w:rsidRDefault="001D4239" w:rsidP="00D95C7B">
            <w:pPr>
              <w:spacing w:after="0" w:line="240" w:lineRule="auto"/>
              <w:jc w:val="center"/>
              <w:rPr>
                <w:rFonts w:ascii="Calibri" w:eastAsia="Times New Roman" w:hAnsi="Calibri" w:cs="Calibri"/>
                <w:color w:val="000000"/>
                <w:lang w:eastAsia="en-GB"/>
              </w:rPr>
            </w:pPr>
            <w:r w:rsidRPr="00D95C7B">
              <w:rPr>
                <w:rFonts w:ascii="Calibri" w:eastAsia="Times New Roman" w:hAnsi="Calibri" w:cs="Calibri"/>
                <w:color w:val="000000"/>
                <w:lang w:eastAsia="en-GB"/>
              </w:rPr>
              <w:t>22/23</w:t>
            </w:r>
          </w:p>
        </w:tc>
        <w:tc>
          <w:tcPr>
            <w:tcW w:w="1276" w:type="dxa"/>
            <w:tcBorders>
              <w:top w:val="single" w:sz="4" w:space="0" w:color="auto"/>
              <w:left w:val="nil"/>
              <w:bottom w:val="single" w:sz="4" w:space="0" w:color="auto"/>
              <w:right w:val="single" w:sz="4" w:space="0" w:color="auto"/>
            </w:tcBorders>
            <w:shd w:val="clear" w:color="000000" w:fill="FFFFCC"/>
            <w:noWrap/>
            <w:vAlign w:val="bottom"/>
            <w:hideMark/>
          </w:tcPr>
          <w:p w14:paraId="36B1771B" w14:textId="77777777" w:rsidR="001D4239" w:rsidRPr="00D95C7B" w:rsidRDefault="001D4239" w:rsidP="00D95C7B">
            <w:pPr>
              <w:spacing w:after="0" w:line="240" w:lineRule="auto"/>
              <w:jc w:val="center"/>
              <w:rPr>
                <w:rFonts w:ascii="Calibri" w:eastAsia="Times New Roman" w:hAnsi="Calibri" w:cs="Calibri"/>
                <w:color w:val="000000"/>
                <w:lang w:eastAsia="en-GB"/>
              </w:rPr>
            </w:pPr>
            <w:r w:rsidRPr="00D95C7B">
              <w:rPr>
                <w:rFonts w:ascii="Calibri" w:eastAsia="Times New Roman" w:hAnsi="Calibri" w:cs="Calibri"/>
                <w:color w:val="000000"/>
                <w:lang w:eastAsia="en-GB"/>
              </w:rPr>
              <w:t>23/24</w:t>
            </w:r>
          </w:p>
        </w:tc>
        <w:tc>
          <w:tcPr>
            <w:tcW w:w="1275" w:type="dxa"/>
            <w:tcBorders>
              <w:top w:val="single" w:sz="4" w:space="0" w:color="auto"/>
              <w:left w:val="nil"/>
              <w:bottom w:val="single" w:sz="4" w:space="0" w:color="auto"/>
              <w:right w:val="single" w:sz="4" w:space="0" w:color="auto"/>
            </w:tcBorders>
            <w:shd w:val="clear" w:color="000000" w:fill="FFFFCC"/>
            <w:noWrap/>
            <w:vAlign w:val="bottom"/>
            <w:hideMark/>
          </w:tcPr>
          <w:p w14:paraId="36B1771C" w14:textId="77777777" w:rsidR="001D4239" w:rsidRPr="00D95C7B" w:rsidRDefault="001D4239" w:rsidP="00D95C7B">
            <w:pPr>
              <w:spacing w:after="0" w:line="240" w:lineRule="auto"/>
              <w:jc w:val="center"/>
              <w:rPr>
                <w:rFonts w:ascii="Calibri" w:eastAsia="Times New Roman" w:hAnsi="Calibri" w:cs="Calibri"/>
                <w:color w:val="000000"/>
                <w:lang w:eastAsia="en-GB"/>
              </w:rPr>
            </w:pPr>
            <w:r w:rsidRPr="00D95C7B">
              <w:rPr>
                <w:rFonts w:ascii="Calibri" w:eastAsia="Times New Roman" w:hAnsi="Calibri" w:cs="Calibri"/>
                <w:color w:val="000000"/>
                <w:lang w:eastAsia="en-GB"/>
              </w:rPr>
              <w:t>24/25</w:t>
            </w:r>
          </w:p>
        </w:tc>
      </w:tr>
      <w:tr w:rsidR="001D4239" w:rsidRPr="00D95C7B" w14:paraId="36B17731" w14:textId="77777777" w:rsidTr="001D4239">
        <w:trPr>
          <w:trHeight w:val="300"/>
        </w:trPr>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36B17723" w14:textId="1FD0931E" w:rsidR="001D4239" w:rsidRPr="00D95C7B" w:rsidRDefault="001D4239" w:rsidP="00D95C7B">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M</w:t>
            </w:r>
            <w:r w:rsidR="00C73B24">
              <w:rPr>
                <w:rFonts w:ascii="Calibri" w:eastAsia="Times New Roman" w:hAnsi="Calibri" w:cs="Calibri"/>
                <w:color w:val="000000"/>
                <w:lang w:eastAsia="en-GB"/>
              </w:rPr>
              <w:t>anpower</w:t>
            </w:r>
          </w:p>
        </w:tc>
        <w:tc>
          <w:tcPr>
            <w:tcW w:w="1134" w:type="dxa"/>
            <w:tcBorders>
              <w:top w:val="nil"/>
              <w:left w:val="nil"/>
              <w:bottom w:val="single" w:sz="4" w:space="0" w:color="auto"/>
              <w:right w:val="single" w:sz="4" w:space="0" w:color="auto"/>
            </w:tcBorders>
            <w:shd w:val="clear" w:color="auto" w:fill="auto"/>
            <w:noWrap/>
            <w:vAlign w:val="bottom"/>
            <w:hideMark/>
          </w:tcPr>
          <w:p w14:paraId="36B17725" w14:textId="77777777" w:rsidR="001D4239" w:rsidRPr="00D95C7B" w:rsidRDefault="001D4239" w:rsidP="00D95C7B">
            <w:pPr>
              <w:spacing w:after="0" w:line="240" w:lineRule="auto"/>
              <w:jc w:val="right"/>
              <w:rPr>
                <w:rFonts w:ascii="Calibri" w:eastAsia="Times New Roman" w:hAnsi="Calibri" w:cs="Calibri"/>
                <w:color w:val="000000"/>
                <w:lang w:eastAsia="en-GB"/>
              </w:rPr>
            </w:pPr>
            <w:r w:rsidRPr="00D95C7B">
              <w:rPr>
                <w:rFonts w:ascii="Calibri" w:eastAsia="Times New Roman" w:hAnsi="Calibri" w:cs="Calibri"/>
                <w:color w:val="000000"/>
                <w:lang w:eastAsia="en-GB"/>
              </w:rPr>
              <w:t>101.4%</w:t>
            </w:r>
          </w:p>
        </w:tc>
        <w:tc>
          <w:tcPr>
            <w:tcW w:w="1134" w:type="dxa"/>
            <w:tcBorders>
              <w:top w:val="nil"/>
              <w:left w:val="nil"/>
              <w:bottom w:val="single" w:sz="4" w:space="0" w:color="auto"/>
              <w:right w:val="single" w:sz="4" w:space="0" w:color="auto"/>
            </w:tcBorders>
            <w:shd w:val="clear" w:color="auto" w:fill="auto"/>
            <w:noWrap/>
            <w:vAlign w:val="bottom"/>
            <w:hideMark/>
          </w:tcPr>
          <w:p w14:paraId="36B17726" w14:textId="77777777" w:rsidR="001D4239" w:rsidRPr="00D95C7B" w:rsidRDefault="001D4239" w:rsidP="00D95C7B">
            <w:pPr>
              <w:spacing w:after="0" w:line="240" w:lineRule="auto"/>
              <w:jc w:val="right"/>
              <w:rPr>
                <w:rFonts w:ascii="Calibri" w:eastAsia="Times New Roman" w:hAnsi="Calibri" w:cs="Calibri"/>
                <w:color w:val="000000"/>
                <w:lang w:eastAsia="en-GB"/>
              </w:rPr>
            </w:pPr>
            <w:r w:rsidRPr="00D95C7B">
              <w:rPr>
                <w:rFonts w:ascii="Calibri" w:eastAsia="Times New Roman" w:hAnsi="Calibri" w:cs="Calibri"/>
                <w:color w:val="000000"/>
                <w:lang w:eastAsia="en-GB"/>
              </w:rPr>
              <w:t>102.7%</w:t>
            </w:r>
          </w:p>
        </w:tc>
        <w:tc>
          <w:tcPr>
            <w:tcW w:w="1134" w:type="dxa"/>
            <w:tcBorders>
              <w:top w:val="nil"/>
              <w:left w:val="nil"/>
              <w:bottom w:val="single" w:sz="4" w:space="0" w:color="auto"/>
              <w:right w:val="single" w:sz="4" w:space="0" w:color="auto"/>
            </w:tcBorders>
            <w:shd w:val="clear" w:color="auto" w:fill="auto"/>
            <w:noWrap/>
            <w:vAlign w:val="bottom"/>
            <w:hideMark/>
          </w:tcPr>
          <w:p w14:paraId="36B17727" w14:textId="77777777" w:rsidR="001D4239" w:rsidRPr="00D95C7B" w:rsidRDefault="001D4239" w:rsidP="00D95C7B">
            <w:pPr>
              <w:spacing w:after="0" w:line="240" w:lineRule="auto"/>
              <w:jc w:val="right"/>
              <w:rPr>
                <w:rFonts w:ascii="Calibri" w:eastAsia="Times New Roman" w:hAnsi="Calibri" w:cs="Calibri"/>
                <w:color w:val="000000"/>
                <w:lang w:eastAsia="en-GB"/>
              </w:rPr>
            </w:pPr>
            <w:r w:rsidRPr="00D95C7B">
              <w:rPr>
                <w:rFonts w:ascii="Calibri" w:eastAsia="Times New Roman" w:hAnsi="Calibri" w:cs="Calibri"/>
                <w:color w:val="000000"/>
                <w:lang w:eastAsia="en-GB"/>
              </w:rPr>
              <w:t>104.1%</w:t>
            </w:r>
          </w:p>
        </w:tc>
        <w:tc>
          <w:tcPr>
            <w:tcW w:w="1134" w:type="dxa"/>
            <w:tcBorders>
              <w:top w:val="nil"/>
              <w:left w:val="nil"/>
              <w:bottom w:val="single" w:sz="4" w:space="0" w:color="auto"/>
              <w:right w:val="single" w:sz="4" w:space="0" w:color="auto"/>
            </w:tcBorders>
            <w:shd w:val="clear" w:color="auto" w:fill="auto"/>
            <w:noWrap/>
            <w:vAlign w:val="bottom"/>
            <w:hideMark/>
          </w:tcPr>
          <w:p w14:paraId="36B17728" w14:textId="77777777" w:rsidR="001D4239" w:rsidRPr="00D95C7B" w:rsidRDefault="001D4239" w:rsidP="00D95C7B">
            <w:pPr>
              <w:spacing w:after="0" w:line="240" w:lineRule="auto"/>
              <w:jc w:val="right"/>
              <w:rPr>
                <w:rFonts w:ascii="Calibri" w:eastAsia="Times New Roman" w:hAnsi="Calibri" w:cs="Calibri"/>
                <w:color w:val="000000"/>
                <w:lang w:eastAsia="en-GB"/>
              </w:rPr>
            </w:pPr>
            <w:r w:rsidRPr="00D95C7B">
              <w:rPr>
                <w:rFonts w:ascii="Calibri" w:eastAsia="Times New Roman" w:hAnsi="Calibri" w:cs="Calibri"/>
                <w:color w:val="000000"/>
                <w:lang w:eastAsia="en-GB"/>
              </w:rPr>
              <w:t>105.4%</w:t>
            </w:r>
          </w:p>
        </w:tc>
        <w:tc>
          <w:tcPr>
            <w:tcW w:w="1418" w:type="dxa"/>
            <w:tcBorders>
              <w:top w:val="nil"/>
              <w:left w:val="nil"/>
              <w:bottom w:val="single" w:sz="4" w:space="0" w:color="auto"/>
              <w:right w:val="single" w:sz="4" w:space="0" w:color="auto"/>
            </w:tcBorders>
            <w:shd w:val="clear" w:color="auto" w:fill="auto"/>
            <w:noWrap/>
            <w:vAlign w:val="bottom"/>
            <w:hideMark/>
          </w:tcPr>
          <w:p w14:paraId="36B17729" w14:textId="77777777" w:rsidR="001D4239" w:rsidRPr="00D95C7B" w:rsidRDefault="001D4239" w:rsidP="00D95C7B">
            <w:pPr>
              <w:spacing w:after="0" w:line="240" w:lineRule="auto"/>
              <w:jc w:val="right"/>
              <w:rPr>
                <w:rFonts w:ascii="Calibri" w:eastAsia="Times New Roman" w:hAnsi="Calibri" w:cs="Calibri"/>
                <w:color w:val="000000"/>
                <w:lang w:eastAsia="en-GB"/>
              </w:rPr>
            </w:pPr>
            <w:r w:rsidRPr="00D95C7B">
              <w:rPr>
                <w:rFonts w:ascii="Calibri" w:eastAsia="Times New Roman" w:hAnsi="Calibri" w:cs="Calibri"/>
                <w:color w:val="000000"/>
                <w:lang w:eastAsia="en-GB"/>
              </w:rPr>
              <w:t>106.8%</w:t>
            </w:r>
          </w:p>
        </w:tc>
        <w:tc>
          <w:tcPr>
            <w:tcW w:w="1276" w:type="dxa"/>
            <w:tcBorders>
              <w:top w:val="nil"/>
              <w:left w:val="nil"/>
              <w:bottom w:val="single" w:sz="4" w:space="0" w:color="auto"/>
              <w:right w:val="single" w:sz="4" w:space="0" w:color="auto"/>
            </w:tcBorders>
            <w:shd w:val="clear" w:color="auto" w:fill="auto"/>
            <w:noWrap/>
            <w:vAlign w:val="bottom"/>
            <w:hideMark/>
          </w:tcPr>
          <w:p w14:paraId="36B1772A" w14:textId="77777777" w:rsidR="001D4239" w:rsidRPr="00D95C7B" w:rsidRDefault="001D4239" w:rsidP="00D95C7B">
            <w:pPr>
              <w:spacing w:after="0" w:line="240" w:lineRule="auto"/>
              <w:jc w:val="right"/>
              <w:rPr>
                <w:rFonts w:ascii="Calibri" w:eastAsia="Times New Roman" w:hAnsi="Calibri" w:cs="Calibri"/>
                <w:color w:val="000000"/>
                <w:lang w:eastAsia="en-GB"/>
              </w:rPr>
            </w:pPr>
            <w:r w:rsidRPr="00D95C7B">
              <w:rPr>
                <w:rFonts w:ascii="Calibri" w:eastAsia="Times New Roman" w:hAnsi="Calibri" w:cs="Calibri"/>
                <w:color w:val="000000"/>
                <w:lang w:eastAsia="en-GB"/>
              </w:rPr>
              <w:t>108.1%</w:t>
            </w:r>
          </w:p>
        </w:tc>
        <w:tc>
          <w:tcPr>
            <w:tcW w:w="1275" w:type="dxa"/>
            <w:tcBorders>
              <w:top w:val="nil"/>
              <w:left w:val="nil"/>
              <w:bottom w:val="single" w:sz="4" w:space="0" w:color="auto"/>
              <w:right w:val="single" w:sz="4" w:space="0" w:color="auto"/>
            </w:tcBorders>
            <w:shd w:val="clear" w:color="auto" w:fill="auto"/>
            <w:noWrap/>
            <w:vAlign w:val="bottom"/>
            <w:hideMark/>
          </w:tcPr>
          <w:p w14:paraId="36B1772B" w14:textId="77777777" w:rsidR="001D4239" w:rsidRPr="00D95C7B" w:rsidRDefault="001D4239" w:rsidP="00D95C7B">
            <w:pPr>
              <w:spacing w:after="0" w:line="240" w:lineRule="auto"/>
              <w:jc w:val="right"/>
              <w:rPr>
                <w:rFonts w:ascii="Calibri" w:eastAsia="Times New Roman" w:hAnsi="Calibri" w:cs="Calibri"/>
                <w:color w:val="000000"/>
                <w:lang w:eastAsia="en-GB"/>
              </w:rPr>
            </w:pPr>
            <w:r w:rsidRPr="00D95C7B">
              <w:rPr>
                <w:rFonts w:ascii="Calibri" w:eastAsia="Times New Roman" w:hAnsi="Calibri" w:cs="Calibri"/>
                <w:color w:val="000000"/>
                <w:lang w:eastAsia="en-GB"/>
              </w:rPr>
              <w:t>109.4%</w:t>
            </w:r>
          </w:p>
        </w:tc>
      </w:tr>
      <w:tr w:rsidR="001D4239" w:rsidRPr="00D95C7B" w14:paraId="36B17740" w14:textId="77777777" w:rsidTr="001D4239">
        <w:trPr>
          <w:trHeight w:val="300"/>
        </w:trPr>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36B17732" w14:textId="1126E9AF" w:rsidR="001D4239" w:rsidRPr="00D95C7B" w:rsidRDefault="001D4239" w:rsidP="00D95C7B">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E</w:t>
            </w:r>
            <w:r w:rsidR="00C73B24">
              <w:rPr>
                <w:rFonts w:ascii="Calibri" w:eastAsia="Times New Roman" w:hAnsi="Calibri" w:cs="Calibri"/>
                <w:color w:val="000000"/>
                <w:lang w:eastAsia="en-GB"/>
              </w:rPr>
              <w:t>quipment</w:t>
            </w:r>
          </w:p>
        </w:tc>
        <w:tc>
          <w:tcPr>
            <w:tcW w:w="1134" w:type="dxa"/>
            <w:tcBorders>
              <w:top w:val="nil"/>
              <w:left w:val="nil"/>
              <w:bottom w:val="single" w:sz="4" w:space="0" w:color="auto"/>
              <w:right w:val="single" w:sz="4" w:space="0" w:color="auto"/>
            </w:tcBorders>
            <w:shd w:val="clear" w:color="auto" w:fill="auto"/>
            <w:noWrap/>
            <w:vAlign w:val="bottom"/>
            <w:hideMark/>
          </w:tcPr>
          <w:p w14:paraId="36B17734" w14:textId="77777777" w:rsidR="001D4239" w:rsidRPr="00D95C7B" w:rsidRDefault="001D4239" w:rsidP="00D95C7B">
            <w:pPr>
              <w:spacing w:after="0" w:line="240" w:lineRule="auto"/>
              <w:jc w:val="right"/>
              <w:rPr>
                <w:rFonts w:ascii="Calibri" w:eastAsia="Times New Roman" w:hAnsi="Calibri" w:cs="Calibri"/>
                <w:color w:val="000000"/>
                <w:lang w:eastAsia="en-GB"/>
              </w:rPr>
            </w:pPr>
            <w:r w:rsidRPr="00D95C7B">
              <w:rPr>
                <w:rFonts w:ascii="Calibri" w:eastAsia="Times New Roman" w:hAnsi="Calibri" w:cs="Calibri"/>
                <w:color w:val="000000"/>
                <w:lang w:eastAsia="en-GB"/>
              </w:rPr>
              <w:t>101.4%</w:t>
            </w:r>
          </w:p>
        </w:tc>
        <w:tc>
          <w:tcPr>
            <w:tcW w:w="1134" w:type="dxa"/>
            <w:tcBorders>
              <w:top w:val="nil"/>
              <w:left w:val="nil"/>
              <w:bottom w:val="single" w:sz="4" w:space="0" w:color="auto"/>
              <w:right w:val="single" w:sz="4" w:space="0" w:color="auto"/>
            </w:tcBorders>
            <w:shd w:val="clear" w:color="auto" w:fill="auto"/>
            <w:noWrap/>
            <w:vAlign w:val="bottom"/>
            <w:hideMark/>
          </w:tcPr>
          <w:p w14:paraId="36B17735" w14:textId="77777777" w:rsidR="001D4239" w:rsidRPr="00D95C7B" w:rsidRDefault="001D4239" w:rsidP="00D95C7B">
            <w:pPr>
              <w:spacing w:after="0" w:line="240" w:lineRule="auto"/>
              <w:jc w:val="right"/>
              <w:rPr>
                <w:rFonts w:ascii="Calibri" w:eastAsia="Times New Roman" w:hAnsi="Calibri" w:cs="Calibri"/>
                <w:color w:val="000000"/>
                <w:lang w:eastAsia="en-GB"/>
              </w:rPr>
            </w:pPr>
            <w:r w:rsidRPr="00D95C7B">
              <w:rPr>
                <w:rFonts w:ascii="Calibri" w:eastAsia="Times New Roman" w:hAnsi="Calibri" w:cs="Calibri"/>
                <w:color w:val="000000"/>
                <w:lang w:eastAsia="en-GB"/>
              </w:rPr>
              <w:t>102.7%</w:t>
            </w:r>
          </w:p>
        </w:tc>
        <w:tc>
          <w:tcPr>
            <w:tcW w:w="1134" w:type="dxa"/>
            <w:tcBorders>
              <w:top w:val="nil"/>
              <w:left w:val="nil"/>
              <w:bottom w:val="single" w:sz="4" w:space="0" w:color="auto"/>
              <w:right w:val="single" w:sz="4" w:space="0" w:color="auto"/>
            </w:tcBorders>
            <w:shd w:val="clear" w:color="auto" w:fill="auto"/>
            <w:noWrap/>
            <w:vAlign w:val="bottom"/>
            <w:hideMark/>
          </w:tcPr>
          <w:p w14:paraId="36B17736" w14:textId="77777777" w:rsidR="001D4239" w:rsidRPr="00D95C7B" w:rsidRDefault="001D4239" w:rsidP="00D95C7B">
            <w:pPr>
              <w:spacing w:after="0" w:line="240" w:lineRule="auto"/>
              <w:jc w:val="right"/>
              <w:rPr>
                <w:rFonts w:ascii="Calibri" w:eastAsia="Times New Roman" w:hAnsi="Calibri" w:cs="Calibri"/>
                <w:color w:val="000000"/>
                <w:lang w:eastAsia="en-GB"/>
              </w:rPr>
            </w:pPr>
            <w:r w:rsidRPr="00D95C7B">
              <w:rPr>
                <w:rFonts w:ascii="Calibri" w:eastAsia="Times New Roman" w:hAnsi="Calibri" w:cs="Calibri"/>
                <w:color w:val="000000"/>
                <w:lang w:eastAsia="en-GB"/>
              </w:rPr>
              <w:t>104.1%</w:t>
            </w:r>
          </w:p>
        </w:tc>
        <w:tc>
          <w:tcPr>
            <w:tcW w:w="1134" w:type="dxa"/>
            <w:tcBorders>
              <w:top w:val="nil"/>
              <w:left w:val="nil"/>
              <w:bottom w:val="single" w:sz="4" w:space="0" w:color="auto"/>
              <w:right w:val="single" w:sz="4" w:space="0" w:color="auto"/>
            </w:tcBorders>
            <w:shd w:val="clear" w:color="auto" w:fill="auto"/>
            <w:noWrap/>
            <w:vAlign w:val="bottom"/>
            <w:hideMark/>
          </w:tcPr>
          <w:p w14:paraId="36B17737" w14:textId="77777777" w:rsidR="001D4239" w:rsidRPr="00D95C7B" w:rsidRDefault="001D4239" w:rsidP="00D95C7B">
            <w:pPr>
              <w:spacing w:after="0" w:line="240" w:lineRule="auto"/>
              <w:jc w:val="right"/>
              <w:rPr>
                <w:rFonts w:ascii="Calibri" w:eastAsia="Times New Roman" w:hAnsi="Calibri" w:cs="Calibri"/>
                <w:color w:val="000000"/>
                <w:lang w:eastAsia="en-GB"/>
              </w:rPr>
            </w:pPr>
            <w:r w:rsidRPr="00D95C7B">
              <w:rPr>
                <w:rFonts w:ascii="Calibri" w:eastAsia="Times New Roman" w:hAnsi="Calibri" w:cs="Calibri"/>
                <w:color w:val="000000"/>
                <w:lang w:eastAsia="en-GB"/>
              </w:rPr>
              <w:t>105.5%</w:t>
            </w:r>
          </w:p>
        </w:tc>
        <w:tc>
          <w:tcPr>
            <w:tcW w:w="1418" w:type="dxa"/>
            <w:tcBorders>
              <w:top w:val="nil"/>
              <w:left w:val="nil"/>
              <w:bottom w:val="single" w:sz="4" w:space="0" w:color="auto"/>
              <w:right w:val="single" w:sz="4" w:space="0" w:color="auto"/>
            </w:tcBorders>
            <w:shd w:val="clear" w:color="auto" w:fill="auto"/>
            <w:noWrap/>
            <w:vAlign w:val="bottom"/>
            <w:hideMark/>
          </w:tcPr>
          <w:p w14:paraId="36B17738" w14:textId="77777777" w:rsidR="001D4239" w:rsidRPr="00D95C7B" w:rsidRDefault="001D4239" w:rsidP="00D95C7B">
            <w:pPr>
              <w:spacing w:after="0" w:line="240" w:lineRule="auto"/>
              <w:jc w:val="right"/>
              <w:rPr>
                <w:rFonts w:ascii="Calibri" w:eastAsia="Times New Roman" w:hAnsi="Calibri" w:cs="Calibri"/>
                <w:color w:val="000000"/>
                <w:lang w:eastAsia="en-GB"/>
              </w:rPr>
            </w:pPr>
            <w:r w:rsidRPr="00D95C7B">
              <w:rPr>
                <w:rFonts w:ascii="Calibri" w:eastAsia="Times New Roman" w:hAnsi="Calibri" w:cs="Calibri"/>
                <w:color w:val="000000"/>
                <w:lang w:eastAsia="en-GB"/>
              </w:rPr>
              <w:t>107.0%</w:t>
            </w:r>
          </w:p>
        </w:tc>
        <w:tc>
          <w:tcPr>
            <w:tcW w:w="1276" w:type="dxa"/>
            <w:tcBorders>
              <w:top w:val="nil"/>
              <w:left w:val="nil"/>
              <w:bottom w:val="single" w:sz="4" w:space="0" w:color="auto"/>
              <w:right w:val="single" w:sz="4" w:space="0" w:color="auto"/>
            </w:tcBorders>
            <w:shd w:val="clear" w:color="auto" w:fill="auto"/>
            <w:noWrap/>
            <w:vAlign w:val="bottom"/>
            <w:hideMark/>
          </w:tcPr>
          <w:p w14:paraId="36B17739" w14:textId="77777777" w:rsidR="001D4239" w:rsidRPr="00D95C7B" w:rsidRDefault="001D4239" w:rsidP="00D95C7B">
            <w:pPr>
              <w:spacing w:after="0" w:line="240" w:lineRule="auto"/>
              <w:jc w:val="right"/>
              <w:rPr>
                <w:rFonts w:ascii="Calibri" w:eastAsia="Times New Roman" w:hAnsi="Calibri" w:cs="Calibri"/>
                <w:color w:val="000000"/>
                <w:lang w:eastAsia="en-GB"/>
              </w:rPr>
            </w:pPr>
            <w:r w:rsidRPr="00D95C7B">
              <w:rPr>
                <w:rFonts w:ascii="Calibri" w:eastAsia="Times New Roman" w:hAnsi="Calibri" w:cs="Calibri"/>
                <w:color w:val="000000"/>
                <w:lang w:eastAsia="en-GB"/>
              </w:rPr>
              <w:t>108.5%</w:t>
            </w:r>
          </w:p>
        </w:tc>
        <w:tc>
          <w:tcPr>
            <w:tcW w:w="1275" w:type="dxa"/>
            <w:tcBorders>
              <w:top w:val="nil"/>
              <w:left w:val="nil"/>
              <w:bottom w:val="single" w:sz="4" w:space="0" w:color="auto"/>
              <w:right w:val="single" w:sz="4" w:space="0" w:color="auto"/>
            </w:tcBorders>
            <w:shd w:val="clear" w:color="auto" w:fill="auto"/>
            <w:noWrap/>
            <w:vAlign w:val="bottom"/>
            <w:hideMark/>
          </w:tcPr>
          <w:p w14:paraId="36B1773A" w14:textId="77777777" w:rsidR="001D4239" w:rsidRPr="00D95C7B" w:rsidRDefault="001D4239" w:rsidP="00D95C7B">
            <w:pPr>
              <w:spacing w:after="0" w:line="240" w:lineRule="auto"/>
              <w:jc w:val="right"/>
              <w:rPr>
                <w:rFonts w:ascii="Calibri" w:eastAsia="Times New Roman" w:hAnsi="Calibri" w:cs="Calibri"/>
                <w:color w:val="000000"/>
                <w:lang w:eastAsia="en-GB"/>
              </w:rPr>
            </w:pPr>
            <w:r w:rsidRPr="00D95C7B">
              <w:rPr>
                <w:rFonts w:ascii="Calibri" w:eastAsia="Times New Roman" w:hAnsi="Calibri" w:cs="Calibri"/>
                <w:color w:val="000000"/>
                <w:lang w:eastAsia="en-GB"/>
              </w:rPr>
              <w:t>110.0%</w:t>
            </w:r>
          </w:p>
        </w:tc>
      </w:tr>
      <w:tr w:rsidR="001D4239" w:rsidRPr="00D95C7B" w14:paraId="36B1774F" w14:textId="77777777" w:rsidTr="001D4239">
        <w:trPr>
          <w:trHeight w:val="300"/>
        </w:trPr>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36B17741" w14:textId="75B54279" w:rsidR="001D4239" w:rsidRPr="00D95C7B" w:rsidRDefault="001D4239" w:rsidP="00D95C7B">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GDP Deflator</w:t>
            </w:r>
          </w:p>
        </w:tc>
        <w:tc>
          <w:tcPr>
            <w:tcW w:w="1134" w:type="dxa"/>
            <w:tcBorders>
              <w:top w:val="nil"/>
              <w:left w:val="nil"/>
              <w:bottom w:val="single" w:sz="4" w:space="0" w:color="auto"/>
              <w:right w:val="single" w:sz="4" w:space="0" w:color="auto"/>
            </w:tcBorders>
            <w:shd w:val="clear" w:color="auto" w:fill="auto"/>
            <w:noWrap/>
            <w:vAlign w:val="bottom"/>
            <w:hideMark/>
          </w:tcPr>
          <w:p w14:paraId="36B17743" w14:textId="77777777" w:rsidR="001D4239" w:rsidRPr="00D95C7B" w:rsidRDefault="001D4239" w:rsidP="00D95C7B">
            <w:pPr>
              <w:spacing w:after="0" w:line="240" w:lineRule="auto"/>
              <w:jc w:val="right"/>
              <w:rPr>
                <w:rFonts w:ascii="Calibri" w:eastAsia="Times New Roman" w:hAnsi="Calibri" w:cs="Calibri"/>
                <w:color w:val="000000"/>
                <w:lang w:eastAsia="en-GB"/>
              </w:rPr>
            </w:pPr>
            <w:r w:rsidRPr="00D95C7B">
              <w:rPr>
                <w:rFonts w:ascii="Calibri" w:eastAsia="Times New Roman" w:hAnsi="Calibri" w:cs="Calibri"/>
                <w:color w:val="000000"/>
                <w:lang w:eastAsia="en-GB"/>
              </w:rPr>
              <w:t>101.6%</w:t>
            </w:r>
          </w:p>
        </w:tc>
        <w:tc>
          <w:tcPr>
            <w:tcW w:w="1134" w:type="dxa"/>
            <w:tcBorders>
              <w:top w:val="nil"/>
              <w:left w:val="nil"/>
              <w:bottom w:val="single" w:sz="4" w:space="0" w:color="auto"/>
              <w:right w:val="single" w:sz="4" w:space="0" w:color="auto"/>
            </w:tcBorders>
            <w:shd w:val="clear" w:color="auto" w:fill="auto"/>
            <w:noWrap/>
            <w:vAlign w:val="bottom"/>
            <w:hideMark/>
          </w:tcPr>
          <w:p w14:paraId="36B17744" w14:textId="77777777" w:rsidR="001D4239" w:rsidRPr="00D95C7B" w:rsidRDefault="001D4239" w:rsidP="00D95C7B">
            <w:pPr>
              <w:spacing w:after="0" w:line="240" w:lineRule="auto"/>
              <w:jc w:val="right"/>
              <w:rPr>
                <w:rFonts w:ascii="Calibri" w:eastAsia="Times New Roman" w:hAnsi="Calibri" w:cs="Calibri"/>
                <w:color w:val="000000"/>
                <w:lang w:eastAsia="en-GB"/>
              </w:rPr>
            </w:pPr>
            <w:r w:rsidRPr="00D95C7B">
              <w:rPr>
                <w:rFonts w:ascii="Calibri" w:eastAsia="Times New Roman" w:hAnsi="Calibri" w:cs="Calibri"/>
                <w:color w:val="000000"/>
                <w:lang w:eastAsia="en-GB"/>
              </w:rPr>
              <w:t>103.3%</w:t>
            </w:r>
          </w:p>
        </w:tc>
        <w:tc>
          <w:tcPr>
            <w:tcW w:w="1134" w:type="dxa"/>
            <w:tcBorders>
              <w:top w:val="nil"/>
              <w:left w:val="nil"/>
              <w:bottom w:val="single" w:sz="4" w:space="0" w:color="auto"/>
              <w:right w:val="single" w:sz="4" w:space="0" w:color="auto"/>
            </w:tcBorders>
            <w:shd w:val="clear" w:color="auto" w:fill="auto"/>
            <w:noWrap/>
            <w:vAlign w:val="bottom"/>
            <w:hideMark/>
          </w:tcPr>
          <w:p w14:paraId="36B17745" w14:textId="77777777" w:rsidR="001D4239" w:rsidRPr="00D95C7B" w:rsidRDefault="001D4239" w:rsidP="00D95C7B">
            <w:pPr>
              <w:spacing w:after="0" w:line="240" w:lineRule="auto"/>
              <w:jc w:val="right"/>
              <w:rPr>
                <w:rFonts w:ascii="Calibri" w:eastAsia="Times New Roman" w:hAnsi="Calibri" w:cs="Calibri"/>
                <w:color w:val="000000"/>
                <w:lang w:eastAsia="en-GB"/>
              </w:rPr>
            </w:pPr>
            <w:r w:rsidRPr="00D95C7B">
              <w:rPr>
                <w:rFonts w:ascii="Calibri" w:eastAsia="Times New Roman" w:hAnsi="Calibri" w:cs="Calibri"/>
                <w:color w:val="000000"/>
                <w:lang w:eastAsia="en-GB"/>
              </w:rPr>
              <w:t>105.3%</w:t>
            </w:r>
          </w:p>
        </w:tc>
        <w:tc>
          <w:tcPr>
            <w:tcW w:w="1134" w:type="dxa"/>
            <w:tcBorders>
              <w:top w:val="nil"/>
              <w:left w:val="nil"/>
              <w:bottom w:val="single" w:sz="4" w:space="0" w:color="auto"/>
              <w:right w:val="single" w:sz="4" w:space="0" w:color="auto"/>
            </w:tcBorders>
            <w:shd w:val="clear" w:color="auto" w:fill="auto"/>
            <w:noWrap/>
            <w:vAlign w:val="bottom"/>
            <w:hideMark/>
          </w:tcPr>
          <w:p w14:paraId="36B17746" w14:textId="77777777" w:rsidR="001D4239" w:rsidRPr="00D95C7B" w:rsidRDefault="001D4239" w:rsidP="00D95C7B">
            <w:pPr>
              <w:spacing w:after="0" w:line="240" w:lineRule="auto"/>
              <w:jc w:val="right"/>
              <w:rPr>
                <w:rFonts w:ascii="Calibri" w:eastAsia="Times New Roman" w:hAnsi="Calibri" w:cs="Calibri"/>
                <w:color w:val="000000"/>
                <w:lang w:eastAsia="en-GB"/>
              </w:rPr>
            </w:pPr>
            <w:r w:rsidRPr="00D95C7B">
              <w:rPr>
                <w:rFonts w:ascii="Calibri" w:eastAsia="Times New Roman" w:hAnsi="Calibri" w:cs="Calibri"/>
                <w:color w:val="000000"/>
                <w:lang w:eastAsia="en-GB"/>
              </w:rPr>
              <w:t>107.3%</w:t>
            </w:r>
          </w:p>
        </w:tc>
        <w:tc>
          <w:tcPr>
            <w:tcW w:w="1418" w:type="dxa"/>
            <w:tcBorders>
              <w:top w:val="nil"/>
              <w:left w:val="nil"/>
              <w:bottom w:val="single" w:sz="4" w:space="0" w:color="auto"/>
              <w:right w:val="single" w:sz="4" w:space="0" w:color="auto"/>
            </w:tcBorders>
            <w:shd w:val="clear" w:color="auto" w:fill="auto"/>
            <w:noWrap/>
            <w:vAlign w:val="bottom"/>
            <w:hideMark/>
          </w:tcPr>
          <w:p w14:paraId="36B17747" w14:textId="77777777" w:rsidR="001D4239" w:rsidRPr="00D95C7B" w:rsidRDefault="001D4239" w:rsidP="00D95C7B">
            <w:pPr>
              <w:spacing w:after="0" w:line="240" w:lineRule="auto"/>
              <w:jc w:val="right"/>
              <w:rPr>
                <w:rFonts w:ascii="Calibri" w:eastAsia="Times New Roman" w:hAnsi="Calibri" w:cs="Calibri"/>
                <w:color w:val="000000"/>
                <w:lang w:eastAsia="en-GB"/>
              </w:rPr>
            </w:pPr>
            <w:r w:rsidRPr="00D95C7B">
              <w:rPr>
                <w:rFonts w:ascii="Calibri" w:eastAsia="Times New Roman" w:hAnsi="Calibri" w:cs="Calibri"/>
                <w:color w:val="000000"/>
                <w:lang w:eastAsia="en-GB"/>
              </w:rPr>
              <w:t>109.7%</w:t>
            </w:r>
          </w:p>
        </w:tc>
        <w:tc>
          <w:tcPr>
            <w:tcW w:w="1276" w:type="dxa"/>
            <w:tcBorders>
              <w:top w:val="nil"/>
              <w:left w:val="nil"/>
              <w:bottom w:val="single" w:sz="4" w:space="0" w:color="auto"/>
              <w:right w:val="single" w:sz="4" w:space="0" w:color="auto"/>
            </w:tcBorders>
            <w:shd w:val="clear" w:color="auto" w:fill="auto"/>
            <w:noWrap/>
            <w:vAlign w:val="bottom"/>
            <w:hideMark/>
          </w:tcPr>
          <w:p w14:paraId="36B17748" w14:textId="77777777" w:rsidR="001D4239" w:rsidRPr="00D95C7B" w:rsidRDefault="001D4239" w:rsidP="00D95C7B">
            <w:pPr>
              <w:spacing w:after="0" w:line="240" w:lineRule="auto"/>
              <w:jc w:val="right"/>
              <w:rPr>
                <w:rFonts w:ascii="Calibri" w:eastAsia="Times New Roman" w:hAnsi="Calibri" w:cs="Calibri"/>
                <w:color w:val="000000"/>
                <w:lang w:eastAsia="en-GB"/>
              </w:rPr>
            </w:pPr>
            <w:r w:rsidRPr="00D95C7B">
              <w:rPr>
                <w:rFonts w:ascii="Calibri" w:eastAsia="Times New Roman" w:hAnsi="Calibri" w:cs="Calibri"/>
                <w:color w:val="000000"/>
                <w:lang w:eastAsia="en-GB"/>
              </w:rPr>
              <w:t>112.2%</w:t>
            </w:r>
          </w:p>
        </w:tc>
        <w:tc>
          <w:tcPr>
            <w:tcW w:w="1275" w:type="dxa"/>
            <w:tcBorders>
              <w:top w:val="nil"/>
              <w:left w:val="nil"/>
              <w:bottom w:val="single" w:sz="4" w:space="0" w:color="auto"/>
              <w:right w:val="single" w:sz="4" w:space="0" w:color="auto"/>
            </w:tcBorders>
            <w:shd w:val="clear" w:color="auto" w:fill="auto"/>
            <w:noWrap/>
            <w:vAlign w:val="bottom"/>
            <w:hideMark/>
          </w:tcPr>
          <w:p w14:paraId="36B17749" w14:textId="77777777" w:rsidR="001D4239" w:rsidRPr="00D95C7B" w:rsidRDefault="001D4239" w:rsidP="00D95C7B">
            <w:pPr>
              <w:spacing w:after="0" w:line="240" w:lineRule="auto"/>
              <w:jc w:val="right"/>
              <w:rPr>
                <w:rFonts w:ascii="Calibri" w:eastAsia="Times New Roman" w:hAnsi="Calibri" w:cs="Calibri"/>
                <w:color w:val="000000"/>
                <w:lang w:eastAsia="en-GB"/>
              </w:rPr>
            </w:pPr>
            <w:r w:rsidRPr="00D95C7B">
              <w:rPr>
                <w:rFonts w:ascii="Calibri" w:eastAsia="Times New Roman" w:hAnsi="Calibri" w:cs="Calibri"/>
                <w:color w:val="000000"/>
                <w:lang w:eastAsia="en-GB"/>
              </w:rPr>
              <w:t>114.8%</w:t>
            </w:r>
          </w:p>
        </w:tc>
      </w:tr>
    </w:tbl>
    <w:p w14:paraId="36B17750" w14:textId="77777777" w:rsidR="00D95C7B" w:rsidRDefault="00D95C7B" w:rsidP="00D95C7B"/>
    <w:p w14:paraId="36B17751" w14:textId="77777777" w:rsidR="00D95C7B" w:rsidRDefault="00D95C7B" w:rsidP="00D95C7B">
      <w:pPr>
        <w:pStyle w:val="ListParagraph"/>
        <w:numPr>
          <w:ilvl w:val="0"/>
          <w:numId w:val="1"/>
        </w:numPr>
      </w:pPr>
      <w:r w:rsidRPr="00D95C7B">
        <w:t xml:space="preserve">Where MOD costs are deemed applicable (i.e. where they form a discriminator between bids) the </w:t>
      </w:r>
      <w:r>
        <w:t xml:space="preserve">following prices will be used. </w:t>
      </w:r>
      <w:r w:rsidRPr="00D95C7B">
        <w:t>These are indicative costs only, true internal costs can only be identified after</w:t>
      </w:r>
      <w:r>
        <w:t xml:space="preserve"> careful evaluation of the bids.</w:t>
      </w:r>
    </w:p>
    <w:tbl>
      <w:tblPr>
        <w:tblW w:w="3772" w:type="dxa"/>
        <w:tblInd w:w="851" w:type="dxa"/>
        <w:tblLook w:val="04A0" w:firstRow="1" w:lastRow="0" w:firstColumn="1" w:lastColumn="0" w:noHBand="0" w:noVBand="1"/>
      </w:tblPr>
      <w:tblGrid>
        <w:gridCol w:w="1701"/>
        <w:gridCol w:w="891"/>
        <w:gridCol w:w="1180"/>
      </w:tblGrid>
      <w:tr w:rsidR="00D95C7B" w:rsidRPr="00D95C7B" w14:paraId="36B17755" w14:textId="77777777" w:rsidTr="00D95C7B">
        <w:trPr>
          <w:trHeight w:val="300"/>
        </w:trPr>
        <w:tc>
          <w:tcPr>
            <w:tcW w:w="1701" w:type="dxa"/>
            <w:tcBorders>
              <w:top w:val="nil"/>
              <w:left w:val="nil"/>
              <w:bottom w:val="single" w:sz="4" w:space="0" w:color="auto"/>
              <w:right w:val="nil"/>
            </w:tcBorders>
            <w:shd w:val="clear" w:color="auto" w:fill="auto"/>
            <w:noWrap/>
            <w:vAlign w:val="bottom"/>
            <w:hideMark/>
          </w:tcPr>
          <w:p w14:paraId="36B17752" w14:textId="77777777" w:rsidR="00D95C7B" w:rsidRPr="00D95C7B" w:rsidRDefault="00D95C7B" w:rsidP="00D95C7B">
            <w:pPr>
              <w:spacing w:after="0" w:line="240" w:lineRule="auto"/>
              <w:rPr>
                <w:rFonts w:ascii="Calibri" w:eastAsia="Times New Roman" w:hAnsi="Calibri" w:cs="Calibri"/>
                <w:b/>
                <w:bCs/>
                <w:color w:val="000000"/>
                <w:u w:val="single"/>
                <w:lang w:eastAsia="en-GB"/>
              </w:rPr>
            </w:pPr>
            <w:r w:rsidRPr="00D95C7B">
              <w:rPr>
                <w:rFonts w:ascii="Calibri" w:eastAsia="Times New Roman" w:hAnsi="Calibri" w:cs="Calibri"/>
                <w:b/>
                <w:bCs/>
                <w:color w:val="000000"/>
                <w:u w:val="single"/>
                <w:lang w:eastAsia="en-GB"/>
              </w:rPr>
              <w:t> </w:t>
            </w:r>
          </w:p>
        </w:tc>
        <w:tc>
          <w:tcPr>
            <w:tcW w:w="891" w:type="dxa"/>
            <w:tcBorders>
              <w:top w:val="nil"/>
              <w:left w:val="nil"/>
              <w:bottom w:val="single" w:sz="4" w:space="0" w:color="auto"/>
              <w:right w:val="single" w:sz="4" w:space="0" w:color="auto"/>
            </w:tcBorders>
            <w:shd w:val="clear" w:color="auto" w:fill="auto"/>
            <w:noWrap/>
            <w:vAlign w:val="bottom"/>
            <w:hideMark/>
          </w:tcPr>
          <w:p w14:paraId="36B17753" w14:textId="77777777" w:rsidR="00D95C7B" w:rsidRPr="00D95C7B" w:rsidRDefault="00D95C7B" w:rsidP="00D95C7B">
            <w:pPr>
              <w:spacing w:after="0" w:line="240" w:lineRule="auto"/>
              <w:rPr>
                <w:rFonts w:ascii="Calibri" w:eastAsia="Times New Roman" w:hAnsi="Calibri" w:cs="Calibri"/>
                <w:color w:val="000000"/>
                <w:lang w:eastAsia="en-GB"/>
              </w:rPr>
            </w:pPr>
            <w:r w:rsidRPr="00D95C7B">
              <w:rPr>
                <w:rFonts w:ascii="Calibri" w:eastAsia="Times New Roman" w:hAnsi="Calibri" w:cs="Calibri"/>
                <w:color w:val="000000"/>
                <w:lang w:eastAsia="en-GB"/>
              </w:rPr>
              <w:t> </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36B17754" w14:textId="77777777" w:rsidR="00D95C7B" w:rsidRPr="00D95C7B" w:rsidRDefault="00D95C7B" w:rsidP="00D95C7B">
            <w:pPr>
              <w:spacing w:after="0" w:line="240" w:lineRule="auto"/>
              <w:rPr>
                <w:rFonts w:ascii="Calibri" w:eastAsia="Times New Roman" w:hAnsi="Calibri" w:cs="Calibri"/>
                <w:color w:val="000000"/>
                <w:lang w:eastAsia="en-GB"/>
              </w:rPr>
            </w:pPr>
            <w:r w:rsidRPr="00D95C7B">
              <w:rPr>
                <w:rFonts w:ascii="Calibri" w:eastAsia="Times New Roman" w:hAnsi="Calibri" w:cs="Calibri"/>
                <w:color w:val="000000"/>
                <w:lang w:eastAsia="en-GB"/>
              </w:rPr>
              <w:t>Rate</w:t>
            </w:r>
          </w:p>
        </w:tc>
      </w:tr>
      <w:tr w:rsidR="00D95C7B" w:rsidRPr="00D95C7B" w14:paraId="36B17758" w14:textId="77777777" w:rsidTr="00E03EBA">
        <w:trPr>
          <w:trHeight w:val="300"/>
        </w:trPr>
        <w:tc>
          <w:tcPr>
            <w:tcW w:w="2592" w:type="dxa"/>
            <w:gridSpan w:val="2"/>
            <w:tcBorders>
              <w:top w:val="nil"/>
              <w:left w:val="single" w:sz="4" w:space="0" w:color="auto"/>
              <w:bottom w:val="single" w:sz="4" w:space="0" w:color="auto"/>
              <w:right w:val="single" w:sz="4" w:space="0" w:color="auto"/>
            </w:tcBorders>
            <w:shd w:val="clear" w:color="auto" w:fill="auto"/>
            <w:noWrap/>
            <w:vAlign w:val="center"/>
            <w:hideMark/>
          </w:tcPr>
          <w:p w14:paraId="36B17756" w14:textId="77777777" w:rsidR="00D95C7B" w:rsidRPr="00D95C7B" w:rsidRDefault="00D95C7B" w:rsidP="00D95C7B">
            <w:pPr>
              <w:spacing w:after="0" w:line="240" w:lineRule="auto"/>
              <w:rPr>
                <w:rFonts w:ascii="Calibri" w:eastAsia="Times New Roman" w:hAnsi="Calibri" w:cs="Calibri"/>
                <w:color w:val="000000"/>
                <w:lang w:eastAsia="en-GB"/>
              </w:rPr>
            </w:pPr>
            <w:r w:rsidRPr="00D95C7B">
              <w:rPr>
                <w:rFonts w:ascii="Calibri" w:eastAsia="Times New Roman" w:hAnsi="Calibri" w:cs="Calibri"/>
                <w:color w:val="000000"/>
                <w:lang w:eastAsia="en-GB"/>
              </w:rPr>
              <w:t>MOD App Specialist</w:t>
            </w:r>
          </w:p>
        </w:tc>
        <w:tc>
          <w:tcPr>
            <w:tcW w:w="1180" w:type="dxa"/>
            <w:tcBorders>
              <w:top w:val="nil"/>
              <w:left w:val="nil"/>
              <w:bottom w:val="single" w:sz="4" w:space="0" w:color="auto"/>
              <w:right w:val="single" w:sz="4" w:space="0" w:color="auto"/>
            </w:tcBorders>
            <w:shd w:val="clear" w:color="auto" w:fill="auto"/>
            <w:noWrap/>
            <w:vAlign w:val="bottom"/>
            <w:hideMark/>
          </w:tcPr>
          <w:p w14:paraId="36B17757" w14:textId="77777777" w:rsidR="00D95C7B" w:rsidRPr="00D95C7B" w:rsidRDefault="00D95C7B" w:rsidP="00D95C7B">
            <w:pPr>
              <w:spacing w:after="0" w:line="240" w:lineRule="auto"/>
              <w:rPr>
                <w:rFonts w:ascii="Calibri" w:eastAsia="Times New Roman" w:hAnsi="Calibri" w:cs="Calibri"/>
                <w:color w:val="000000"/>
                <w:lang w:eastAsia="en-GB"/>
              </w:rPr>
            </w:pPr>
            <w:r w:rsidRPr="00D95C7B">
              <w:rPr>
                <w:rFonts w:ascii="Calibri" w:eastAsia="Times New Roman" w:hAnsi="Calibri" w:cs="Calibri"/>
                <w:color w:val="000000"/>
                <w:lang w:eastAsia="en-GB"/>
              </w:rPr>
              <w:t>£280/day</w:t>
            </w:r>
          </w:p>
        </w:tc>
      </w:tr>
    </w:tbl>
    <w:p w14:paraId="36B17759" w14:textId="77777777" w:rsidR="00D95C7B" w:rsidRDefault="00D95C7B" w:rsidP="00D95C7B"/>
    <w:p w14:paraId="36B1775A" w14:textId="79EBB7F3" w:rsidR="00D95C7B" w:rsidRDefault="00D95C7B" w:rsidP="00D95C7B">
      <w:pPr>
        <w:pStyle w:val="ListParagraph"/>
        <w:numPr>
          <w:ilvl w:val="0"/>
          <w:numId w:val="1"/>
        </w:numPr>
      </w:pPr>
      <w:r w:rsidRPr="00D95C7B">
        <w:lastRenderedPageBreak/>
        <w:t>Other MOD Rates will be taken from the 16/17 Finance instruction according to the grade of staff required to undertake the task as deemed applicable by relevant SMEs.</w:t>
      </w:r>
    </w:p>
    <w:p w14:paraId="36B1775B" w14:textId="77777777" w:rsidR="00D95C7B" w:rsidRDefault="00D95C7B" w:rsidP="00D95C7B">
      <w:pPr>
        <w:pStyle w:val="ListParagraph"/>
        <w:numPr>
          <w:ilvl w:val="0"/>
          <w:numId w:val="1"/>
        </w:numPr>
      </w:pPr>
      <w:r w:rsidRPr="00D95C7B">
        <w:t>Any other software prices will be taken from MOD catalogue rates where applicable.</w:t>
      </w:r>
    </w:p>
    <w:p w14:paraId="36B1775C" w14:textId="77777777" w:rsidR="00D95C7B" w:rsidRDefault="00D95C7B" w:rsidP="00D95C7B">
      <w:pPr>
        <w:pStyle w:val="ListParagraph"/>
        <w:numPr>
          <w:ilvl w:val="0"/>
          <w:numId w:val="1"/>
        </w:numPr>
      </w:pPr>
      <w:r w:rsidRPr="00D95C7B">
        <w:t>Hardware (e.g. terminals) will be priced based on existing catalogues according to the specification of any hardware requested that is not currently available in stores.</w:t>
      </w:r>
    </w:p>
    <w:p w14:paraId="36B1775D" w14:textId="77777777" w:rsidR="00D95C7B" w:rsidRDefault="00D95C7B" w:rsidP="00D95C7B"/>
    <w:sectPr w:rsidR="00D95C7B" w:rsidSect="009C0355">
      <w:pgSz w:w="16839" w:h="11907" w:orient="landscape" w:code="9"/>
      <w:pgMar w:top="1134" w:right="1134" w:bottom="1134" w:left="1134"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EC3553"/>
    <w:multiLevelType w:val="hybridMultilevel"/>
    <w:tmpl w:val="EDD6DE7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44D13E7E"/>
    <w:multiLevelType w:val="hybridMultilevel"/>
    <w:tmpl w:val="5B6A6F8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8AE0F62"/>
    <w:multiLevelType w:val="hybridMultilevel"/>
    <w:tmpl w:val="852ED21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B95F8F"/>
    <w:multiLevelType w:val="hybridMultilevel"/>
    <w:tmpl w:val="21AC4BD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355"/>
    <w:rsid w:val="00125183"/>
    <w:rsid w:val="001D4239"/>
    <w:rsid w:val="0042364D"/>
    <w:rsid w:val="005D22FD"/>
    <w:rsid w:val="009C0355"/>
    <w:rsid w:val="00A846FB"/>
    <w:rsid w:val="00B97A64"/>
    <w:rsid w:val="00C4683E"/>
    <w:rsid w:val="00C73B24"/>
    <w:rsid w:val="00D95C7B"/>
    <w:rsid w:val="00D968B5"/>
    <w:rsid w:val="00E921B0"/>
    <w:rsid w:val="00EC4E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176C2"/>
  <w15:chartTrackingRefBased/>
  <w15:docId w15:val="{30C3313A-6FC3-4BFD-9753-E56FE8571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0355"/>
    <w:pPr>
      <w:ind w:left="720"/>
      <w:contextualSpacing/>
    </w:pPr>
  </w:style>
  <w:style w:type="character" w:styleId="CommentReference">
    <w:name w:val="annotation reference"/>
    <w:basedOn w:val="DefaultParagraphFont"/>
    <w:uiPriority w:val="99"/>
    <w:semiHidden/>
    <w:unhideWhenUsed/>
    <w:rsid w:val="001D4239"/>
    <w:rPr>
      <w:sz w:val="16"/>
      <w:szCs w:val="16"/>
    </w:rPr>
  </w:style>
  <w:style w:type="paragraph" w:styleId="CommentText">
    <w:name w:val="annotation text"/>
    <w:basedOn w:val="Normal"/>
    <w:link w:val="CommentTextChar"/>
    <w:uiPriority w:val="99"/>
    <w:semiHidden/>
    <w:unhideWhenUsed/>
    <w:rsid w:val="001D4239"/>
    <w:pPr>
      <w:spacing w:line="240" w:lineRule="auto"/>
    </w:pPr>
    <w:rPr>
      <w:sz w:val="20"/>
      <w:szCs w:val="20"/>
    </w:rPr>
  </w:style>
  <w:style w:type="character" w:customStyle="1" w:styleId="CommentTextChar">
    <w:name w:val="Comment Text Char"/>
    <w:basedOn w:val="DefaultParagraphFont"/>
    <w:link w:val="CommentText"/>
    <w:uiPriority w:val="99"/>
    <w:semiHidden/>
    <w:rsid w:val="001D4239"/>
    <w:rPr>
      <w:sz w:val="20"/>
      <w:szCs w:val="20"/>
    </w:rPr>
  </w:style>
  <w:style w:type="paragraph" w:styleId="CommentSubject">
    <w:name w:val="annotation subject"/>
    <w:basedOn w:val="CommentText"/>
    <w:next w:val="CommentText"/>
    <w:link w:val="CommentSubjectChar"/>
    <w:uiPriority w:val="99"/>
    <w:semiHidden/>
    <w:unhideWhenUsed/>
    <w:rsid w:val="001D4239"/>
    <w:rPr>
      <w:b/>
      <w:bCs/>
    </w:rPr>
  </w:style>
  <w:style w:type="character" w:customStyle="1" w:styleId="CommentSubjectChar">
    <w:name w:val="Comment Subject Char"/>
    <w:basedOn w:val="CommentTextChar"/>
    <w:link w:val="CommentSubject"/>
    <w:uiPriority w:val="99"/>
    <w:semiHidden/>
    <w:rsid w:val="001D4239"/>
    <w:rPr>
      <w:b/>
      <w:bCs/>
      <w:sz w:val="20"/>
      <w:szCs w:val="20"/>
    </w:rPr>
  </w:style>
  <w:style w:type="paragraph" w:styleId="BalloonText">
    <w:name w:val="Balloon Text"/>
    <w:basedOn w:val="Normal"/>
    <w:link w:val="BalloonTextChar"/>
    <w:uiPriority w:val="99"/>
    <w:semiHidden/>
    <w:unhideWhenUsed/>
    <w:rsid w:val="001D42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42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631332">
      <w:bodyDiv w:val="1"/>
      <w:marLeft w:val="0"/>
      <w:marRight w:val="0"/>
      <w:marTop w:val="0"/>
      <w:marBottom w:val="0"/>
      <w:divBdr>
        <w:top w:val="none" w:sz="0" w:space="0" w:color="auto"/>
        <w:left w:val="none" w:sz="0" w:space="0" w:color="auto"/>
        <w:bottom w:val="none" w:sz="0" w:space="0" w:color="auto"/>
        <w:right w:val="none" w:sz="0" w:space="0" w:color="auto"/>
      </w:divBdr>
    </w:div>
    <w:div w:id="428235226">
      <w:bodyDiv w:val="1"/>
      <w:marLeft w:val="0"/>
      <w:marRight w:val="0"/>
      <w:marTop w:val="0"/>
      <w:marBottom w:val="0"/>
      <w:divBdr>
        <w:top w:val="none" w:sz="0" w:space="0" w:color="auto"/>
        <w:left w:val="none" w:sz="0" w:space="0" w:color="auto"/>
        <w:bottom w:val="none" w:sz="0" w:space="0" w:color="auto"/>
        <w:right w:val="none" w:sz="0" w:space="0" w:color="auto"/>
      </w:divBdr>
    </w:div>
    <w:div w:id="1571962875">
      <w:bodyDiv w:val="1"/>
      <w:marLeft w:val="0"/>
      <w:marRight w:val="0"/>
      <w:marTop w:val="0"/>
      <w:marBottom w:val="0"/>
      <w:divBdr>
        <w:top w:val="none" w:sz="0" w:space="0" w:color="auto"/>
        <w:left w:val="none" w:sz="0" w:space="0" w:color="auto"/>
        <w:bottom w:val="none" w:sz="0" w:space="0" w:color="auto"/>
        <w:right w:val="none" w:sz="0" w:space="0" w:color="auto"/>
      </w:divBdr>
    </w:div>
    <w:div w:id="158252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1716b23a-7964-4300-86a0-9aab6df22f46</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ISS En</TermName>
          <TermId xmlns="http://schemas.microsoft.com/office/infopath/2007/PartnerControls">fa45b941-30dd-4776-8542-b74d3234c984</TermId>
        </TermInfo>
      </Terms>
    </m79e07ce3690491db9121a08429fad40>
    <TaxCatchAll xmlns="04738c6d-ecc8-46f1-821f-82e308eab3d9">
      <Value>4</Value>
      <Value>3</Value>
      <Value>2</Value>
      <Value>1</Value>
    </TaxCatchAll>
    <UKProtectiveMarking xmlns="04738c6d-ecc8-46f1-821f-82e308eab3d9">OFFICIAL</UKProtectiveMarking>
    <CategoryDescription xmlns="http://schemas.microsoft.com/sharepoint.v3" xsi:nil="true"/>
    <CreatedOriginated xmlns="04738c6d-ecc8-46f1-821f-82e308eab3d9">2017-11-07T13:37:43+00:00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bcdac1cf-115f-4393-9bb8-33887411b2d3</TermId>
        </TermInfo>
      </Terms>
    </i71a74d1f9984201b479cc08077b6323>
    <wic_System_Copyright xmlns="http://schemas.microsoft.com/sharepoint/v3/fields"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375D46E401A5BF48A66A3BC242EC6E5E" ma:contentTypeVersion="6" ma:contentTypeDescription="Designed to facilitate the storage of MOD Documents with a '.doc' or '.docx' extension" ma:contentTypeScope="" ma:versionID="6c6f40fdfb589de6b79982acf164d811">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targetNamespace="http://schemas.microsoft.com/office/2006/metadata/properties" ma:root="true" ma:fieldsID="29ce9cb13731f2aa2f272d2560770fe7" ns1:_="" ns2:_="" ns3:_="" ns4:_="">
    <xsd:import namespace="http://schemas.microsoft.com/sharepoint/v3"/>
    <xsd:import namespace="04738c6d-ecc8-46f1-821f-82e308eab3d9"/>
    <xsd:import namespace="http://schemas.microsoft.com/sharepoint.v3"/>
    <xsd:import namespace="http://schemas.microsoft.com/sharepoint/v3/fields"/>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15d92486-a8e4-49d3-be75-25f65f7ca3a7}" ma:internalName="TaxCatchAll" ma:showField="CatchAllData" ma:web="7269a14a-534e-4bc7-8490-a7bc6cab1f81">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15d92486-a8e4-49d3-be75-25f65f7ca3a7}" ma:internalName="TaxCatchAllLabel" ma:readOnly="true" ma:showField="CatchAllDataLabel" ma:web="7269a14a-534e-4bc7-8490-a7bc6cab1f81">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ISS En|fa45b941-30dd-4776-8542-b74d3234c98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Information infrastructure|1716b23a-7964-4300-86a0-9aab6df22f46"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Information infrastructure|bcdac1cf-115f-4393-9bb8-33887411b2d3"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a9ff0b8c-5d72-4038-b2cd-f57bf310c636" ContentTypeId="0x010100D9D675D6CDED02438DC7CFF78D2F29E401" PreviousValue="false"/>
</file>

<file path=customXml/item5.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6.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Props1.xml><?xml version="1.0" encoding="utf-8"?>
<ds:datastoreItem xmlns:ds="http://schemas.openxmlformats.org/officeDocument/2006/customXml" ds:itemID="{3F5C96D4-9520-435C-B039-4061BB796E23}">
  <ds:schemaRefs>
    <ds:schemaRef ds:uri="http://schemas.microsoft.com/sharepoint/v3/contenttype/forms"/>
  </ds:schemaRefs>
</ds:datastoreItem>
</file>

<file path=customXml/itemProps2.xml><?xml version="1.0" encoding="utf-8"?>
<ds:datastoreItem xmlns:ds="http://schemas.openxmlformats.org/officeDocument/2006/customXml" ds:itemID="{1B0E09D0-B009-4EAD-BE20-DEA243D79CA0}">
  <ds:schemaRefs>
    <ds:schemaRef ds:uri="http://www.w3.org/XML/1998/namespace"/>
    <ds:schemaRef ds:uri="http://schemas.microsoft.com/office/2006/documentManagement/types"/>
    <ds:schemaRef ds:uri="http://schemas.openxmlformats.org/package/2006/metadata/core-properties"/>
    <ds:schemaRef ds:uri="http://schemas.microsoft.com/sharepoint/v3"/>
    <ds:schemaRef ds:uri="http://schemas.microsoft.com/office/2006/metadata/properties"/>
    <ds:schemaRef ds:uri="http://purl.org/dc/terms/"/>
    <ds:schemaRef ds:uri="04738c6d-ecc8-46f1-821f-82e308eab3d9"/>
    <ds:schemaRef ds:uri="http://purl.org/dc/elements/1.1/"/>
    <ds:schemaRef ds:uri="http://purl.org/dc/dcmitype/"/>
    <ds:schemaRef ds:uri="http://schemas.microsoft.com/office/infopath/2007/PartnerControls"/>
    <ds:schemaRef ds:uri="http://schemas.microsoft.com/sharepoint/v3/fields"/>
    <ds:schemaRef ds:uri="http://schemas.microsoft.com/sharepoint.v3"/>
  </ds:schemaRefs>
</ds:datastoreItem>
</file>

<file path=customXml/itemProps3.xml><?xml version="1.0" encoding="utf-8"?>
<ds:datastoreItem xmlns:ds="http://schemas.openxmlformats.org/officeDocument/2006/customXml" ds:itemID="{C8368584-7777-4146-AAAD-B7908129F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9528E2-05AC-49F1-AB86-150F11D10F7C}">
  <ds:schemaRefs>
    <ds:schemaRef ds:uri="Microsoft.SharePoint.Taxonomy.ContentTypeSync"/>
  </ds:schemaRefs>
</ds:datastoreItem>
</file>

<file path=customXml/itemProps5.xml><?xml version="1.0" encoding="utf-8"?>
<ds:datastoreItem xmlns:ds="http://schemas.openxmlformats.org/officeDocument/2006/customXml" ds:itemID="{B35FA24D-2A71-45FD-B2B2-9E928F153373}">
  <ds:schemaRefs>
    <ds:schemaRef ds:uri="office.server.policy"/>
  </ds:schemaRefs>
</ds:datastoreItem>
</file>

<file path=customXml/itemProps6.xml><?xml version="1.0" encoding="utf-8"?>
<ds:datastoreItem xmlns:ds="http://schemas.openxmlformats.org/officeDocument/2006/customXml" ds:itemID="{B78517B6-105C-47D8-82E0-9FE3557F2D2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ROBERTS, ALLAN Mr (ISS DEV-BATCIS-MOR-CDO APPS-ARCH)</dc:creator>
  <cp:keywords/>
  <dc:description/>
  <cp:lastModifiedBy>Dalford, Robert C1 (ISS Comrcl-BATCIS-C1-09)</cp:lastModifiedBy>
  <cp:revision>2</cp:revision>
  <dcterms:created xsi:type="dcterms:W3CDTF">2017-11-08T16:23:00Z</dcterms:created>
  <dcterms:modified xsi:type="dcterms:W3CDTF">2017-11-08T16:23:00Z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0x010100D9D675D6CDED02438DC7CFF78D2F29E40100375D46E401A5BF48A66A3BC242EC6E5E</vt:lpwstr>
  </property>
  <property fmtid="{D5CDD505-2E9C-101B-9397-08002B2CF9AE}" pid="3" name="_dlc_policyId">
    <vt:lpwstr/>
  </property>
  <property fmtid="{D5CDD505-2E9C-101B-9397-08002B2CF9AE}" pid="4" name="ItemRetentionFormula">
    <vt:lpwstr/>
  </property>
  <property fmtid="{D5CDD505-2E9C-101B-9397-08002B2CF9AE}" pid="5" name="Subject Category">
    <vt:lpwstr>2;#Information infrastructure|bcdac1cf-115f-4393-9bb8-33887411b2d3</vt:lpwstr>
  </property>
  <property fmtid="{D5CDD505-2E9C-101B-9397-08002B2CF9AE}" pid="6" name="TaxKeyword">
    <vt:lpwstr/>
  </property>
  <property fmtid="{D5CDD505-2E9C-101B-9397-08002B2CF9AE}" pid="7" name="Subject Keywords">
    <vt:lpwstr>3;#Information infrastructure|1716b23a-7964-4300-86a0-9aab6df22f46</vt:lpwstr>
  </property>
  <property fmtid="{D5CDD505-2E9C-101B-9397-08002B2CF9AE}" pid="8" name="Business Owner">
    <vt:lpwstr>1;#ISS En|fa45b941-30dd-4776-8542-b74d3234c984</vt:lpwstr>
  </property>
  <property fmtid="{D5CDD505-2E9C-101B-9397-08002B2CF9AE}" pid="9" name="fileplanid">
    <vt:lpwstr>4;#04 Deliver the Unit's objectives|954cf193-6423-4137-9b07-8b4f402d8d43</vt:lpwstr>
  </property>
</Properties>
</file>